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93E626" w14:textId="1BF918C3" w:rsidR="00F01182" w:rsidRPr="00A21195" w:rsidRDefault="00F01182" w:rsidP="00F01182">
      <w:pPr>
        <w:pStyle w:val="Header"/>
        <w:tabs>
          <w:tab w:val="right" w:pos="8280"/>
          <w:tab w:val="right" w:pos="9639"/>
        </w:tabs>
        <w:jc w:val="both"/>
        <w:rPr>
          <w:rFonts w:cs="Arial"/>
          <w:noProof w:val="0"/>
          <w:sz w:val="24"/>
        </w:rPr>
      </w:pPr>
      <w:r w:rsidRPr="002D6524">
        <w:rPr>
          <w:rFonts w:cs="Arial"/>
          <w:sz w:val="24"/>
          <w:szCs w:val="24"/>
        </w:rPr>
        <w:t>3GPP TSG-RAN WG4 Meeting #</w:t>
      </w:r>
      <w:r w:rsidR="00250CB6">
        <w:rPr>
          <w:rFonts w:cs="Arial"/>
          <w:sz w:val="24"/>
          <w:szCs w:val="24"/>
        </w:rPr>
        <w:t>100</w:t>
      </w:r>
      <w:r w:rsidRPr="00AB081E">
        <w:rPr>
          <w:rFonts w:cs="Arial"/>
          <w:sz w:val="24"/>
          <w:szCs w:val="24"/>
        </w:rPr>
        <w:t>-e</w:t>
      </w:r>
      <w:r w:rsidRPr="002D6524">
        <w:rPr>
          <w:rFonts w:cs="Arial"/>
          <w:noProof w:val="0"/>
          <w:sz w:val="24"/>
        </w:rPr>
        <w:tab/>
      </w:r>
      <w:r w:rsidRPr="002D6524">
        <w:rPr>
          <w:rFonts w:cs="Arial"/>
          <w:noProof w:val="0"/>
          <w:sz w:val="24"/>
        </w:rPr>
        <w:tab/>
      </w:r>
      <w:r w:rsidR="00304F73" w:rsidRPr="00304F73">
        <w:rPr>
          <w:rFonts w:cs="Arial"/>
          <w:noProof w:val="0"/>
          <w:sz w:val="24"/>
        </w:rPr>
        <w:t>R4-2114191</w:t>
      </w:r>
    </w:p>
    <w:p w14:paraId="67F14A92" w14:textId="77AC9438" w:rsidR="00F01182" w:rsidRPr="00AB081E" w:rsidRDefault="00F01182" w:rsidP="00F01182">
      <w:pPr>
        <w:pStyle w:val="Header"/>
        <w:tabs>
          <w:tab w:val="right" w:pos="8280"/>
          <w:tab w:val="right" w:pos="9639"/>
        </w:tabs>
        <w:jc w:val="both"/>
        <w:rPr>
          <w:rFonts w:cs="Arial"/>
          <w:sz w:val="24"/>
          <w:szCs w:val="24"/>
        </w:rPr>
      </w:pPr>
      <w:r w:rsidRPr="00AB081E">
        <w:rPr>
          <w:rFonts w:cs="Arial"/>
          <w:sz w:val="24"/>
          <w:szCs w:val="24"/>
        </w:rPr>
        <w:t xml:space="preserve">E-meeting, </w:t>
      </w:r>
      <w:r w:rsidR="00250CB6" w:rsidRPr="00AB081E">
        <w:rPr>
          <w:rFonts w:cs="Arial"/>
          <w:sz w:val="24"/>
          <w:szCs w:val="24"/>
        </w:rPr>
        <w:t>1</w:t>
      </w:r>
      <w:r w:rsidR="00250CB6">
        <w:rPr>
          <w:rFonts w:cs="Arial"/>
          <w:sz w:val="24"/>
          <w:szCs w:val="24"/>
        </w:rPr>
        <w:t>6</w:t>
      </w:r>
      <w:r w:rsidR="00250CB6" w:rsidRPr="00AB081E">
        <w:rPr>
          <w:rFonts w:cs="Arial"/>
          <w:sz w:val="24"/>
          <w:szCs w:val="24"/>
        </w:rPr>
        <w:t xml:space="preserve"> </w:t>
      </w:r>
      <w:r w:rsidR="00250CB6">
        <w:rPr>
          <w:rFonts w:cs="Arial"/>
          <w:sz w:val="24"/>
          <w:szCs w:val="24"/>
        </w:rPr>
        <w:t>Aug</w:t>
      </w:r>
      <w:r w:rsidR="00250CB6" w:rsidRPr="00AB081E">
        <w:rPr>
          <w:rFonts w:cs="Arial"/>
          <w:sz w:val="24"/>
          <w:szCs w:val="24"/>
        </w:rPr>
        <w:t xml:space="preserve"> – 27 </w:t>
      </w:r>
      <w:r w:rsidR="00250CB6">
        <w:rPr>
          <w:rFonts w:cs="Arial"/>
          <w:sz w:val="24"/>
          <w:szCs w:val="24"/>
        </w:rPr>
        <w:t>Aug</w:t>
      </w:r>
      <w:r w:rsidR="00250CB6" w:rsidRPr="00AB081E">
        <w:rPr>
          <w:rFonts w:cs="Arial"/>
          <w:sz w:val="24"/>
          <w:szCs w:val="24"/>
        </w:rPr>
        <w:t>, 2021</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6C98F9E3"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C65EF3" w:rsidRPr="00AB081E">
        <w:rPr>
          <w:rFonts w:ascii="Arial" w:hAnsi="Arial" w:cs="Arial"/>
          <w:b/>
          <w:sz w:val="24"/>
        </w:rPr>
        <w:t>9.</w:t>
      </w:r>
      <w:r w:rsidR="00A21195">
        <w:rPr>
          <w:rFonts w:ascii="Arial" w:hAnsi="Arial" w:cs="Arial"/>
          <w:b/>
          <w:sz w:val="24"/>
        </w:rPr>
        <w:t>16.7.</w:t>
      </w:r>
      <w:r w:rsidR="0035405F">
        <w:rPr>
          <w:rFonts w:ascii="Arial" w:hAnsi="Arial" w:cs="Arial"/>
          <w:b/>
          <w:sz w:val="24"/>
        </w:rPr>
        <w:t>4</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72716026"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35405F" w:rsidRPr="0035405F">
        <w:rPr>
          <w:rFonts w:ascii="Arial" w:hAnsi="Arial" w:cs="Arial"/>
          <w:b/>
          <w:sz w:val="24"/>
        </w:rPr>
        <w:t>Discussion on BWP switching delay for NR 52.6 – 71 GHz</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20039226" w14:textId="571DA6F7" w:rsidR="001B79B4" w:rsidRDefault="00490C92" w:rsidP="00F01182">
      <w:pPr>
        <w:jc w:val="both"/>
        <w:rPr>
          <w:color w:val="FF0000"/>
        </w:rPr>
      </w:pPr>
      <w:r w:rsidRPr="00627A3B">
        <w:t xml:space="preserve">During the </w:t>
      </w:r>
      <w:r w:rsidR="006303F7" w:rsidRPr="00627A3B">
        <w:t>RAN4 #9</w:t>
      </w:r>
      <w:r w:rsidR="00276AB5" w:rsidRPr="00627A3B">
        <w:t>9</w:t>
      </w:r>
      <w:r w:rsidR="00627A3B">
        <w:t xml:space="preserve"> the initial scope of RRM work was defined. In the WF</w:t>
      </w:r>
      <w:r w:rsidR="00B912A4">
        <w:t xml:space="preserve"> [1]</w:t>
      </w:r>
      <w:r w:rsidR="00627A3B">
        <w:t xml:space="preserve"> the following topics which need the extension of the requirements to high SCS were listed:</w:t>
      </w:r>
    </w:p>
    <w:tbl>
      <w:tblPr>
        <w:tblStyle w:val="TableGrid"/>
        <w:tblW w:w="0" w:type="auto"/>
        <w:tblLook w:val="04A0" w:firstRow="1" w:lastRow="0" w:firstColumn="1" w:lastColumn="0" w:noHBand="0" w:noVBand="1"/>
      </w:tblPr>
      <w:tblGrid>
        <w:gridCol w:w="9629"/>
      </w:tblGrid>
      <w:tr w:rsidR="001B79B4" w14:paraId="33554F41" w14:textId="77777777" w:rsidTr="001B79B4">
        <w:tc>
          <w:tcPr>
            <w:tcW w:w="9629" w:type="dxa"/>
          </w:tcPr>
          <w:p w14:paraId="78E796AD" w14:textId="77777777" w:rsidR="00074DFE" w:rsidRPr="00074DFE" w:rsidRDefault="00074DFE" w:rsidP="00074DFE">
            <w:pPr>
              <w:numPr>
                <w:ilvl w:val="0"/>
                <w:numId w:val="3"/>
              </w:numPr>
              <w:jc w:val="both"/>
              <w:rPr>
                <w:i/>
                <w:iCs/>
                <w:lang w:val="en-US"/>
              </w:rPr>
            </w:pPr>
            <w:r w:rsidRPr="00074DFE">
              <w:rPr>
                <w:i/>
                <w:iCs/>
              </w:rPr>
              <w:t>Define new RRM requirements due to higher data/SSB SCS for at least the following topics:</w:t>
            </w:r>
          </w:p>
          <w:p w14:paraId="678C576B" w14:textId="77777777" w:rsidR="00074DFE" w:rsidRPr="00074DFE" w:rsidRDefault="00074DFE" w:rsidP="00074DFE">
            <w:pPr>
              <w:numPr>
                <w:ilvl w:val="1"/>
                <w:numId w:val="3"/>
              </w:numPr>
              <w:tabs>
                <w:tab w:val="num" w:pos="1440"/>
              </w:tabs>
              <w:jc w:val="both"/>
              <w:rPr>
                <w:i/>
                <w:iCs/>
                <w:lang w:val="en-US"/>
              </w:rPr>
            </w:pPr>
            <w:r w:rsidRPr="00074DFE">
              <w:rPr>
                <w:i/>
                <w:iCs/>
              </w:rPr>
              <w:t>Timing</w:t>
            </w:r>
          </w:p>
          <w:p w14:paraId="0E02855B" w14:textId="77777777" w:rsidR="00074DFE" w:rsidRPr="00074DFE" w:rsidRDefault="00074DFE" w:rsidP="00074DFE">
            <w:pPr>
              <w:numPr>
                <w:ilvl w:val="2"/>
                <w:numId w:val="3"/>
              </w:numPr>
              <w:jc w:val="both"/>
              <w:rPr>
                <w:i/>
                <w:iCs/>
                <w:lang w:val="en-US"/>
              </w:rPr>
            </w:pPr>
            <w:r w:rsidRPr="00074DFE">
              <w:rPr>
                <w:i/>
                <w:iCs/>
              </w:rPr>
              <w:t>UE transmit timing</w:t>
            </w:r>
          </w:p>
          <w:p w14:paraId="11C2B39A" w14:textId="77777777" w:rsidR="00074DFE" w:rsidRPr="00074DFE" w:rsidRDefault="00074DFE" w:rsidP="00074DFE">
            <w:pPr>
              <w:numPr>
                <w:ilvl w:val="2"/>
                <w:numId w:val="3"/>
              </w:numPr>
              <w:jc w:val="both"/>
              <w:rPr>
                <w:i/>
                <w:iCs/>
                <w:lang w:val="en-US"/>
              </w:rPr>
            </w:pPr>
            <w:r w:rsidRPr="00074DFE">
              <w:rPr>
                <w:i/>
                <w:iCs/>
              </w:rPr>
              <w:t>Timing advance (TA)</w:t>
            </w:r>
          </w:p>
          <w:p w14:paraId="7570CF9E" w14:textId="77777777" w:rsidR="00074DFE" w:rsidRPr="00074DFE" w:rsidRDefault="00074DFE" w:rsidP="00074DFE">
            <w:pPr>
              <w:numPr>
                <w:ilvl w:val="1"/>
                <w:numId w:val="3"/>
              </w:numPr>
              <w:tabs>
                <w:tab w:val="num" w:pos="1440"/>
              </w:tabs>
              <w:jc w:val="both"/>
              <w:rPr>
                <w:i/>
                <w:iCs/>
                <w:lang w:val="en-US"/>
              </w:rPr>
            </w:pPr>
            <w:r w:rsidRPr="00074DFE">
              <w:rPr>
                <w:i/>
                <w:iCs/>
              </w:rPr>
              <w:t>Interruptions</w:t>
            </w:r>
          </w:p>
          <w:p w14:paraId="03D9D4D7" w14:textId="77777777" w:rsidR="00074DFE" w:rsidRPr="00074DFE" w:rsidRDefault="00074DFE" w:rsidP="00074DFE">
            <w:pPr>
              <w:numPr>
                <w:ilvl w:val="1"/>
                <w:numId w:val="3"/>
              </w:numPr>
              <w:tabs>
                <w:tab w:val="num" w:pos="1440"/>
              </w:tabs>
              <w:jc w:val="both"/>
              <w:rPr>
                <w:i/>
                <w:iCs/>
                <w:lang w:val="en-US"/>
              </w:rPr>
            </w:pPr>
            <w:r w:rsidRPr="00074DFE">
              <w:rPr>
                <w:i/>
                <w:iCs/>
              </w:rPr>
              <w:t>Active BWP switching delay</w:t>
            </w:r>
          </w:p>
          <w:p w14:paraId="56C6FA12" w14:textId="77777777" w:rsidR="00074DFE" w:rsidRPr="00074DFE" w:rsidRDefault="00074DFE" w:rsidP="00074DFE">
            <w:pPr>
              <w:numPr>
                <w:ilvl w:val="1"/>
                <w:numId w:val="3"/>
              </w:numPr>
              <w:tabs>
                <w:tab w:val="num" w:pos="1440"/>
              </w:tabs>
              <w:jc w:val="both"/>
              <w:rPr>
                <w:i/>
                <w:iCs/>
                <w:lang w:val="en-US"/>
              </w:rPr>
            </w:pPr>
            <w:r w:rsidRPr="00074DFE">
              <w:rPr>
                <w:i/>
                <w:iCs/>
              </w:rPr>
              <w:t>Measurement gaps</w:t>
            </w:r>
          </w:p>
          <w:p w14:paraId="0EF04A0B" w14:textId="2A7466B2" w:rsidR="001B79B4" w:rsidRPr="001B79B4" w:rsidRDefault="00074DFE" w:rsidP="00074DFE">
            <w:pPr>
              <w:numPr>
                <w:ilvl w:val="2"/>
                <w:numId w:val="3"/>
              </w:numPr>
              <w:jc w:val="both"/>
              <w:rPr>
                <w:i/>
                <w:iCs/>
                <w:lang w:val="en-US"/>
              </w:rPr>
            </w:pPr>
            <w:r w:rsidRPr="00074DFE">
              <w:rPr>
                <w:i/>
                <w:iCs/>
              </w:rPr>
              <w:t>Interruption time</w:t>
            </w:r>
          </w:p>
        </w:tc>
      </w:tr>
    </w:tbl>
    <w:p w14:paraId="717234B3" w14:textId="08D24C54" w:rsidR="008C6931" w:rsidRPr="00431B06" w:rsidRDefault="00DC3348" w:rsidP="00F01182">
      <w:pPr>
        <w:jc w:val="both"/>
      </w:pPr>
      <w:r w:rsidRPr="00431B06">
        <w:t xml:space="preserve">In this paper we </w:t>
      </w:r>
      <w:r w:rsidR="00553847" w:rsidRPr="00431B06">
        <w:t>provide our vie</w:t>
      </w:r>
      <w:r w:rsidR="00A800C6" w:rsidRPr="00431B06">
        <w:t>w</w:t>
      </w:r>
      <w:r w:rsidR="00553847" w:rsidRPr="00431B06">
        <w:t>s on</w:t>
      </w:r>
      <w:r w:rsidR="00627A3B">
        <w:t xml:space="preserve"> active BWP switching delay requirements for new numerologies defined for </w:t>
      </w:r>
      <w:r w:rsidR="00627A3B" w:rsidRPr="00627A3B">
        <w:t>NR 52.6 – 71 GHz</w:t>
      </w:r>
      <w:r w:rsidR="00627A3B">
        <w:t xml:space="preserve"> operation.</w:t>
      </w:r>
    </w:p>
    <w:p w14:paraId="0871E5A4" w14:textId="07811BF4" w:rsidR="00982F1A" w:rsidRPr="00074DFE" w:rsidRDefault="00F01182" w:rsidP="00074DFE">
      <w:pPr>
        <w:pStyle w:val="Heading1"/>
        <w:rPr>
          <w:rStyle w:val="fontstyle01"/>
          <w:rFonts w:ascii="Arial" w:hAnsi="Arial"/>
          <w:color w:val="auto"/>
          <w:sz w:val="36"/>
          <w:szCs w:val="20"/>
        </w:rPr>
      </w:pPr>
      <w:r>
        <w:t>Discussion</w:t>
      </w:r>
    </w:p>
    <w:p w14:paraId="25C99E2B" w14:textId="0F4DB445" w:rsidR="00074DFE" w:rsidRDefault="00884864" w:rsidP="00975FC9">
      <w:r>
        <w:t>The requirements for BWP switching delay were defined in Rel-15</w:t>
      </w:r>
      <w:r w:rsidR="00CC5C2D">
        <w:t xml:space="preserve"> based on the following [</w:t>
      </w:r>
      <w:r w:rsidR="00B21A14">
        <w:t>2</w:t>
      </w:r>
      <w:r w:rsidR="00CC5C2D">
        <w:t>]:</w:t>
      </w:r>
    </w:p>
    <w:p w14:paraId="6D450789" w14:textId="33096A7F" w:rsidR="00975FC9" w:rsidRPr="00975FC9" w:rsidRDefault="00975FC9" w:rsidP="00975FC9">
      <w:pPr>
        <w:rPr>
          <w:lang w:eastAsia="ja-JP" w:bidi="hi-IN"/>
        </w:rPr>
      </w:pPr>
    </w:p>
    <w:tbl>
      <w:tblPr>
        <w:tblStyle w:val="TableGrid"/>
        <w:tblW w:w="0" w:type="auto"/>
        <w:tblLook w:val="04A0" w:firstRow="1" w:lastRow="0" w:firstColumn="1" w:lastColumn="0" w:noHBand="0" w:noVBand="1"/>
      </w:tblPr>
      <w:tblGrid>
        <w:gridCol w:w="9629"/>
      </w:tblGrid>
      <w:tr w:rsidR="00975FC9" w14:paraId="158A0CBB" w14:textId="77777777" w:rsidTr="00A82FBF">
        <w:tc>
          <w:tcPr>
            <w:tcW w:w="9629" w:type="dxa"/>
          </w:tcPr>
          <w:p w14:paraId="17EF3482" w14:textId="77777777" w:rsidR="00975FC9" w:rsidRDefault="00975FC9" w:rsidP="00975FC9">
            <w:pPr>
              <w:pStyle w:val="Header"/>
              <w:rPr>
                <w:rFonts w:eastAsia="Calibri" w:cs="Arial"/>
                <w:b w:val="0"/>
                <w:sz w:val="12"/>
                <w:szCs w:val="22"/>
              </w:rPr>
            </w:pPr>
          </w:p>
          <w:p w14:paraId="3188646C" w14:textId="01E70D20" w:rsidR="00975FC9" w:rsidRPr="00DF47E3" w:rsidRDefault="00975FC9" w:rsidP="00975FC9">
            <w:pPr>
              <w:pStyle w:val="Header"/>
              <w:rPr>
                <w:rFonts w:eastAsia="Calibri" w:cs="Arial"/>
                <w:sz w:val="12"/>
                <w:szCs w:val="22"/>
              </w:rPr>
            </w:pPr>
            <w:r w:rsidRPr="00DF47E3">
              <w:rPr>
                <w:rFonts w:eastAsia="Calibri" w:cs="Arial"/>
                <w:b w:val="0"/>
                <w:sz w:val="12"/>
                <w:szCs w:val="22"/>
              </w:rPr>
              <w:t>Scenario 1</w:t>
            </w:r>
            <w:r w:rsidRPr="00DF47E3">
              <w:rPr>
                <w:rFonts w:eastAsia="Calibri" w:cs="Arial"/>
                <w:sz w:val="12"/>
                <w:szCs w:val="22"/>
              </w:rPr>
              <w:t>: The reconfiguration involves changing the center frequency of the BWP without changing its BW. The reconfiguration may or may not involve changing the SCS.</w:t>
            </w:r>
          </w:p>
          <w:p w14:paraId="58814E16" w14:textId="77777777" w:rsidR="00975FC9" w:rsidRPr="00DF47E3" w:rsidRDefault="00975FC9" w:rsidP="00975FC9">
            <w:pPr>
              <w:pStyle w:val="Header"/>
              <w:rPr>
                <w:rFonts w:eastAsia="Calibri" w:cs="Arial"/>
                <w:sz w:val="12"/>
                <w:szCs w:val="22"/>
              </w:rPr>
            </w:pPr>
            <w:r w:rsidRPr="00DF47E3">
              <w:rPr>
                <w:rFonts w:eastAsia="Calibri" w:cs="Arial"/>
                <w:b w:val="0"/>
                <w:sz w:val="12"/>
                <w:szCs w:val="22"/>
              </w:rPr>
              <w:t>Scenario 2</w:t>
            </w:r>
            <w:r w:rsidRPr="00DF47E3">
              <w:rPr>
                <w:rFonts w:eastAsia="Calibri" w:cs="Arial"/>
                <w:sz w:val="12"/>
                <w:szCs w:val="22"/>
              </w:rPr>
              <w:t>: The reconfiguration involves changing the BW of the BWP without changing its center frequency. The reconfiguration may or may not involve changing the SCS.</w:t>
            </w:r>
          </w:p>
          <w:p w14:paraId="739D8D70" w14:textId="77777777" w:rsidR="00975FC9" w:rsidRPr="00DF47E3" w:rsidRDefault="00975FC9" w:rsidP="00975FC9">
            <w:pPr>
              <w:pStyle w:val="Header"/>
              <w:rPr>
                <w:rFonts w:eastAsia="Calibri" w:cs="Arial"/>
                <w:sz w:val="12"/>
                <w:szCs w:val="22"/>
              </w:rPr>
            </w:pPr>
            <w:r w:rsidRPr="00DF47E3">
              <w:rPr>
                <w:rFonts w:eastAsia="Calibri" w:cs="Arial"/>
                <w:b w:val="0"/>
                <w:sz w:val="12"/>
                <w:szCs w:val="22"/>
              </w:rPr>
              <w:t>Scenario 3</w:t>
            </w:r>
            <w:r w:rsidRPr="00DF47E3">
              <w:rPr>
                <w:rFonts w:eastAsia="Calibri" w:cs="Arial"/>
                <w:sz w:val="12"/>
                <w:szCs w:val="22"/>
              </w:rPr>
              <w:t>: The reconfiguration involves changing both the BW and the center frequency of the BWP. The reconfiguration may or may not involve changing the SCS.</w:t>
            </w:r>
          </w:p>
          <w:p w14:paraId="7E47EDA8" w14:textId="77777777" w:rsidR="00975FC9" w:rsidRPr="00DF47E3" w:rsidRDefault="00975FC9" w:rsidP="00975FC9">
            <w:pPr>
              <w:pStyle w:val="Header"/>
              <w:rPr>
                <w:rFonts w:eastAsia="Calibri" w:cs="Arial"/>
                <w:sz w:val="12"/>
                <w:szCs w:val="22"/>
              </w:rPr>
            </w:pPr>
            <w:r w:rsidRPr="00DF47E3">
              <w:rPr>
                <w:rFonts w:eastAsia="Calibri" w:cs="Arial"/>
                <w:b w:val="0"/>
                <w:sz w:val="12"/>
                <w:szCs w:val="22"/>
              </w:rPr>
              <w:t>Scenario 4</w:t>
            </w:r>
            <w:r w:rsidRPr="00DF47E3">
              <w:rPr>
                <w:rFonts w:eastAsia="Calibri" w:cs="Arial"/>
                <w:sz w:val="12"/>
                <w:szCs w:val="22"/>
              </w:rPr>
              <w:t>: The reconfiguration involves changing only the SCS, where the center frequency and BW of the BWP remain unchanged.</w:t>
            </w:r>
          </w:p>
          <w:p w14:paraId="28753C7F" w14:textId="77777777" w:rsidR="00975FC9" w:rsidRPr="00DF47E3" w:rsidRDefault="00975FC9" w:rsidP="00975FC9">
            <w:pPr>
              <w:pStyle w:val="Header"/>
              <w:rPr>
                <w:rFonts w:eastAsia="Calibri" w:cs="Arial"/>
                <w:sz w:val="12"/>
                <w:szCs w:val="22"/>
              </w:rPr>
            </w:pPr>
          </w:p>
          <w:p w14:paraId="349E8E5B" w14:textId="77777777" w:rsidR="00975FC9" w:rsidRPr="00DF47E3" w:rsidRDefault="00975FC9" w:rsidP="00975FC9">
            <w:pPr>
              <w:pStyle w:val="Header"/>
              <w:rPr>
                <w:rFonts w:eastAsia="Calibri" w:cs="Arial"/>
                <w:sz w:val="12"/>
                <w:szCs w:val="22"/>
              </w:rPr>
            </w:pPr>
            <w:r w:rsidRPr="00DF47E3">
              <w:rPr>
                <w:rFonts w:eastAsia="Calibri" w:cs="Arial"/>
                <w:sz w:val="12"/>
                <w:szCs w:val="22"/>
              </w:rPr>
              <w:fldChar w:fldCharType="begin"/>
            </w:r>
            <w:r w:rsidRPr="00DF47E3">
              <w:rPr>
                <w:rFonts w:eastAsia="Calibri" w:cs="Arial"/>
                <w:sz w:val="12"/>
                <w:szCs w:val="22"/>
              </w:rPr>
              <w:instrText xml:space="preserve"> REF _Ref503643701 \h  \* MERGEFORMAT </w:instrText>
            </w:r>
            <w:r w:rsidRPr="00DF47E3">
              <w:rPr>
                <w:rFonts w:eastAsia="Calibri" w:cs="Arial"/>
                <w:sz w:val="12"/>
                <w:szCs w:val="22"/>
              </w:rPr>
            </w:r>
            <w:r w:rsidRPr="00DF47E3">
              <w:rPr>
                <w:rFonts w:eastAsia="Calibri" w:cs="Arial"/>
                <w:sz w:val="12"/>
                <w:szCs w:val="22"/>
              </w:rPr>
              <w:fldChar w:fldCharType="separate"/>
            </w:r>
            <w:r w:rsidRPr="00DF47E3">
              <w:rPr>
                <w:rFonts w:eastAsia="Calibri" w:cs="Arial"/>
                <w:sz w:val="12"/>
                <w:szCs w:val="22"/>
              </w:rPr>
              <w:t>Figure 1</w:t>
            </w:r>
            <w:r w:rsidRPr="00DF47E3">
              <w:rPr>
                <w:rFonts w:eastAsia="Calibri" w:cs="Arial"/>
                <w:sz w:val="12"/>
                <w:szCs w:val="22"/>
              </w:rPr>
              <w:fldChar w:fldCharType="end"/>
            </w:r>
            <w:r w:rsidRPr="00DF47E3">
              <w:rPr>
                <w:rFonts w:eastAsia="Calibri" w:cs="Arial"/>
                <w:sz w:val="12"/>
                <w:szCs w:val="22"/>
              </w:rPr>
              <w:t xml:space="preserve"> below illustrates the scenarios with a number of examples.</w:t>
            </w:r>
          </w:p>
          <w:p w14:paraId="41C81811" w14:textId="77777777" w:rsidR="00975FC9" w:rsidRPr="00DF47E3" w:rsidRDefault="00975FC9" w:rsidP="00975FC9">
            <w:pPr>
              <w:pStyle w:val="Header"/>
              <w:rPr>
                <w:rFonts w:eastAsia="Calibri" w:cs="Arial"/>
                <w:sz w:val="12"/>
                <w:szCs w:val="22"/>
              </w:rPr>
            </w:pPr>
          </w:p>
          <w:p w14:paraId="34502A4E" w14:textId="4E9E22BD" w:rsidR="00975FC9" w:rsidRPr="00DF47E3" w:rsidRDefault="00975FC9" w:rsidP="00975FC9">
            <w:pPr>
              <w:pStyle w:val="Header"/>
              <w:keepNext/>
              <w:jc w:val="center"/>
              <w:rPr>
                <w:rFonts w:eastAsia="Calibri"/>
                <w:sz w:val="12"/>
                <w:szCs w:val="22"/>
              </w:rPr>
            </w:pPr>
            <w:r w:rsidRPr="00DF47E3">
              <w:rPr>
                <w:rFonts w:eastAsia="Calibri"/>
                <w:sz w:val="12"/>
                <w:szCs w:val="22"/>
              </w:rPr>
              <w:drawing>
                <wp:inline distT="0" distB="0" distL="0" distR="0" wp14:anchorId="46EA9CA6" wp14:editId="1DBBF476">
                  <wp:extent cx="3657600" cy="18980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57600" cy="1898015"/>
                          </a:xfrm>
                          <a:prstGeom prst="rect">
                            <a:avLst/>
                          </a:prstGeom>
                          <a:noFill/>
                          <a:ln>
                            <a:noFill/>
                          </a:ln>
                        </pic:spPr>
                      </pic:pic>
                    </a:graphicData>
                  </a:graphic>
                </wp:inline>
              </w:drawing>
            </w:r>
          </w:p>
          <w:p w14:paraId="0273BBEB" w14:textId="77777777" w:rsidR="00975FC9" w:rsidRPr="00DF47E3" w:rsidRDefault="00975FC9" w:rsidP="00975FC9">
            <w:pPr>
              <w:pStyle w:val="Caption"/>
              <w:spacing w:before="0" w:after="0"/>
              <w:jc w:val="center"/>
              <w:rPr>
                <w:rFonts w:ascii="Arial" w:eastAsia="Calibri" w:hAnsi="Arial" w:cs="Arial"/>
                <w:sz w:val="12"/>
                <w:szCs w:val="22"/>
              </w:rPr>
            </w:pPr>
            <w:bookmarkStart w:id="2" w:name="_Ref503643701"/>
            <w:r w:rsidRPr="00DF47E3">
              <w:rPr>
                <w:rFonts w:ascii="Calibri" w:eastAsia="Calibri" w:hAnsi="Calibri"/>
                <w:sz w:val="12"/>
                <w:szCs w:val="22"/>
              </w:rPr>
              <w:t xml:space="preserve">Figure </w:t>
            </w:r>
            <w:r w:rsidRPr="00DF47E3">
              <w:rPr>
                <w:rFonts w:ascii="Calibri" w:eastAsia="Calibri" w:hAnsi="Calibri"/>
                <w:sz w:val="12"/>
                <w:szCs w:val="22"/>
              </w:rPr>
              <w:fldChar w:fldCharType="begin"/>
            </w:r>
            <w:r w:rsidRPr="00DF47E3">
              <w:rPr>
                <w:rFonts w:ascii="Calibri" w:eastAsia="Calibri" w:hAnsi="Calibri"/>
                <w:sz w:val="12"/>
                <w:szCs w:val="22"/>
              </w:rPr>
              <w:instrText xml:space="preserve"> SEQ Figure \* ARABIC </w:instrText>
            </w:r>
            <w:r w:rsidRPr="00DF47E3">
              <w:rPr>
                <w:rFonts w:ascii="Calibri" w:eastAsia="Calibri" w:hAnsi="Calibri"/>
                <w:sz w:val="12"/>
                <w:szCs w:val="22"/>
              </w:rPr>
              <w:fldChar w:fldCharType="separate"/>
            </w:r>
            <w:r w:rsidRPr="00DF47E3">
              <w:rPr>
                <w:rFonts w:ascii="Calibri" w:eastAsia="Calibri" w:hAnsi="Calibri"/>
                <w:noProof/>
                <w:sz w:val="12"/>
                <w:szCs w:val="22"/>
              </w:rPr>
              <w:t>1</w:t>
            </w:r>
            <w:r w:rsidRPr="00DF47E3">
              <w:rPr>
                <w:rFonts w:ascii="Calibri" w:eastAsia="Calibri" w:hAnsi="Calibri"/>
                <w:sz w:val="12"/>
                <w:szCs w:val="22"/>
              </w:rPr>
              <w:fldChar w:fldCharType="end"/>
            </w:r>
            <w:bookmarkEnd w:id="2"/>
            <w:r w:rsidRPr="00DF47E3">
              <w:rPr>
                <w:rFonts w:ascii="Calibri" w:eastAsia="Calibri" w:hAnsi="Calibri"/>
                <w:sz w:val="12"/>
                <w:szCs w:val="22"/>
              </w:rPr>
              <w:t>: Illustration of BWP reconfiguration scenarios</w:t>
            </w:r>
          </w:p>
          <w:p w14:paraId="2CFCE816" w14:textId="77777777" w:rsidR="00975FC9" w:rsidRPr="00DF47E3" w:rsidRDefault="00975FC9" w:rsidP="00975FC9">
            <w:pPr>
              <w:pStyle w:val="Header"/>
              <w:rPr>
                <w:rFonts w:eastAsia="Calibri" w:cs="Arial"/>
                <w:sz w:val="12"/>
                <w:szCs w:val="22"/>
              </w:rPr>
            </w:pPr>
          </w:p>
          <w:p w14:paraId="7D6052EE" w14:textId="77777777" w:rsidR="00975FC9" w:rsidRPr="00DF47E3" w:rsidRDefault="00975FC9" w:rsidP="00975FC9">
            <w:pPr>
              <w:pStyle w:val="Header"/>
              <w:rPr>
                <w:rFonts w:eastAsia="Calibri" w:cs="Arial"/>
                <w:sz w:val="12"/>
                <w:szCs w:val="22"/>
              </w:rPr>
            </w:pPr>
            <w:r w:rsidRPr="00DF47E3">
              <w:rPr>
                <w:rFonts w:eastAsia="Calibri" w:cs="Arial"/>
                <w:sz w:val="12"/>
                <w:szCs w:val="22"/>
              </w:rPr>
              <w:t>In order to perform these configuration changes, some UE implementations may need switching delays for retuning the local oscillator, for reconfiguring the RF chain for more or less bandwidth, for reconfiguring the RF chain for a given SCS, or for a combination of these operations.</w:t>
            </w:r>
          </w:p>
          <w:p w14:paraId="735A7B7B" w14:textId="77777777" w:rsidR="00975FC9" w:rsidRPr="00DF47E3" w:rsidRDefault="00975FC9" w:rsidP="00975FC9">
            <w:pPr>
              <w:pStyle w:val="Header"/>
              <w:rPr>
                <w:rFonts w:eastAsia="Calibri" w:cs="Arial"/>
                <w:sz w:val="12"/>
                <w:szCs w:val="22"/>
              </w:rPr>
            </w:pPr>
          </w:p>
          <w:p w14:paraId="714003CF" w14:textId="77777777" w:rsidR="00975FC9" w:rsidRPr="00DF47E3" w:rsidRDefault="00975FC9" w:rsidP="00975FC9">
            <w:pPr>
              <w:pStyle w:val="Header"/>
              <w:rPr>
                <w:rFonts w:eastAsia="Calibri" w:cs="Arial"/>
                <w:sz w:val="12"/>
                <w:szCs w:val="22"/>
              </w:rPr>
            </w:pPr>
            <w:r w:rsidRPr="00DF47E3">
              <w:rPr>
                <w:rFonts w:eastAsia="Calibri" w:cs="Arial"/>
                <w:sz w:val="12"/>
                <w:szCs w:val="22"/>
              </w:rPr>
              <w:t>The switching delay is described by the following:</w:t>
            </w:r>
          </w:p>
          <w:p w14:paraId="3FDF0C38" w14:textId="77777777" w:rsidR="00975FC9" w:rsidRPr="00DF47E3" w:rsidRDefault="00975FC9" w:rsidP="00975FC9">
            <w:pPr>
              <w:pStyle w:val="Header"/>
              <w:widowControl/>
              <w:numPr>
                <w:ilvl w:val="0"/>
                <w:numId w:val="6"/>
              </w:numPr>
              <w:overflowPunct/>
              <w:autoSpaceDE/>
              <w:autoSpaceDN/>
              <w:adjustRightInd/>
              <w:textAlignment w:val="auto"/>
              <w:rPr>
                <w:rFonts w:eastAsia="Calibri" w:cs="Arial"/>
                <w:sz w:val="12"/>
                <w:szCs w:val="22"/>
              </w:rPr>
            </w:pPr>
            <w:r w:rsidRPr="00DF47E3">
              <w:rPr>
                <w:rFonts w:eastAsia="Calibri" w:cs="Arial"/>
                <w:sz w:val="12"/>
                <w:szCs w:val="22"/>
              </w:rPr>
              <w:t>Composed of BB processing delay and RF transition time.</w:t>
            </w:r>
          </w:p>
          <w:p w14:paraId="6AE48919" w14:textId="77777777" w:rsidR="00975FC9" w:rsidRPr="00DF47E3" w:rsidRDefault="00975FC9" w:rsidP="00975FC9">
            <w:pPr>
              <w:pStyle w:val="Header"/>
              <w:widowControl/>
              <w:numPr>
                <w:ilvl w:val="0"/>
                <w:numId w:val="6"/>
              </w:numPr>
              <w:overflowPunct/>
              <w:autoSpaceDE/>
              <w:autoSpaceDN/>
              <w:adjustRightInd/>
              <w:textAlignment w:val="auto"/>
              <w:rPr>
                <w:rFonts w:eastAsia="Calibri" w:cs="Arial"/>
                <w:sz w:val="12"/>
                <w:szCs w:val="22"/>
              </w:rPr>
            </w:pPr>
            <w:r w:rsidRPr="00DF47E3">
              <w:rPr>
                <w:rFonts w:eastAsia="Calibri" w:cs="Arial"/>
                <w:sz w:val="12"/>
                <w:szCs w:val="22"/>
              </w:rPr>
              <w:lastRenderedPageBreak/>
              <w:t>The type 4 (per UE) capability signalling to differentiate the Type 1 and Type 2 BWP switching delays for each scenario is agreed to be introduced.</w:t>
            </w:r>
          </w:p>
          <w:p w14:paraId="5C6C6C3B" w14:textId="77777777" w:rsidR="00975FC9" w:rsidRPr="00DF47E3" w:rsidRDefault="00975FC9" w:rsidP="00975FC9">
            <w:pPr>
              <w:pStyle w:val="Header"/>
              <w:rPr>
                <w:rFonts w:eastAsia="Calibri" w:cs="Arial"/>
                <w:sz w:val="12"/>
                <w:szCs w:val="22"/>
              </w:rPr>
            </w:pPr>
          </w:p>
          <w:p w14:paraId="4680FFDB" w14:textId="77777777" w:rsidR="00975FC9" w:rsidRPr="00DF47E3" w:rsidRDefault="00975FC9" w:rsidP="00975FC9">
            <w:pPr>
              <w:pStyle w:val="Header"/>
              <w:rPr>
                <w:rFonts w:eastAsia="Calibri" w:cs="Arial"/>
                <w:sz w:val="12"/>
                <w:szCs w:val="22"/>
              </w:rPr>
            </w:pPr>
            <w:r w:rsidRPr="00DF47E3">
              <w:rPr>
                <w:rFonts w:eastAsia="Calibri" w:cs="Arial"/>
                <w:sz w:val="12"/>
                <w:szCs w:val="22"/>
              </w:rPr>
              <w:t>The BWP switching delay parameters are given in Table 1 below. The values are applied to both DCI-based and timer-based BWP switching.</w:t>
            </w:r>
          </w:p>
          <w:p w14:paraId="5DE44807" w14:textId="77777777" w:rsidR="00975FC9" w:rsidRPr="00DF47E3" w:rsidRDefault="00975FC9" w:rsidP="00975FC9">
            <w:pPr>
              <w:pStyle w:val="Header"/>
              <w:rPr>
                <w:rFonts w:eastAsia="Calibri" w:cs="Arial"/>
                <w:sz w:val="12"/>
                <w:szCs w:val="22"/>
              </w:rPr>
            </w:pPr>
          </w:p>
          <w:p w14:paraId="19AC1BB9" w14:textId="77777777" w:rsidR="00975FC9" w:rsidRPr="00DF47E3" w:rsidRDefault="00975FC9" w:rsidP="00975FC9">
            <w:pPr>
              <w:pStyle w:val="Caption"/>
              <w:keepNext/>
              <w:spacing w:before="0" w:after="0"/>
              <w:jc w:val="center"/>
              <w:rPr>
                <w:rFonts w:ascii="Calibri" w:eastAsia="Calibri" w:hAnsi="Calibri"/>
                <w:sz w:val="12"/>
                <w:szCs w:val="22"/>
              </w:rPr>
            </w:pPr>
            <w:r w:rsidRPr="00DF47E3">
              <w:rPr>
                <w:rFonts w:ascii="Calibri" w:eastAsia="Calibri" w:hAnsi="Calibri"/>
                <w:sz w:val="12"/>
                <w:szCs w:val="22"/>
              </w:rPr>
              <w:t xml:space="preserve">Table </w:t>
            </w:r>
            <w:r w:rsidRPr="00DF47E3">
              <w:rPr>
                <w:rFonts w:ascii="Calibri" w:eastAsia="Calibri" w:hAnsi="Calibri"/>
                <w:sz w:val="12"/>
                <w:szCs w:val="22"/>
              </w:rPr>
              <w:fldChar w:fldCharType="begin"/>
            </w:r>
            <w:r w:rsidRPr="00DF47E3">
              <w:rPr>
                <w:rFonts w:ascii="Calibri" w:eastAsia="Calibri" w:hAnsi="Calibri"/>
                <w:sz w:val="12"/>
                <w:szCs w:val="22"/>
              </w:rPr>
              <w:instrText xml:space="preserve"> SEQ Table \* ARABIC </w:instrText>
            </w:r>
            <w:r w:rsidRPr="00DF47E3">
              <w:rPr>
                <w:rFonts w:ascii="Calibri" w:eastAsia="Calibri" w:hAnsi="Calibri"/>
                <w:sz w:val="12"/>
                <w:szCs w:val="22"/>
              </w:rPr>
              <w:fldChar w:fldCharType="separate"/>
            </w:r>
            <w:r w:rsidRPr="00DF47E3">
              <w:rPr>
                <w:rFonts w:ascii="Calibri" w:eastAsia="Calibri" w:hAnsi="Calibri"/>
                <w:noProof/>
                <w:sz w:val="12"/>
                <w:szCs w:val="22"/>
              </w:rPr>
              <w:t>1</w:t>
            </w:r>
            <w:r w:rsidRPr="00DF47E3">
              <w:rPr>
                <w:rFonts w:ascii="Calibri" w:eastAsia="Calibri" w:hAnsi="Calibri"/>
                <w:sz w:val="12"/>
                <w:szCs w:val="22"/>
              </w:rPr>
              <w:fldChar w:fldCharType="end"/>
            </w:r>
            <w:r w:rsidRPr="00DF47E3">
              <w:rPr>
                <w:rFonts w:ascii="Calibri" w:eastAsia="Calibri" w:hAnsi="Calibri"/>
                <w:sz w:val="12"/>
                <w:szCs w:val="22"/>
              </w:rPr>
              <w:t>: BWP switching delay parameters</w:t>
            </w:r>
          </w:p>
          <w:tbl>
            <w:tblPr>
              <w:tblW w:w="39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941"/>
              <w:gridCol w:w="894"/>
              <w:gridCol w:w="970"/>
              <w:gridCol w:w="3021"/>
            </w:tblGrid>
            <w:tr w:rsidR="00975FC9" w:rsidRPr="005C30CF" w14:paraId="5D0B2B62" w14:textId="77777777" w:rsidTr="00A82FBF">
              <w:trPr>
                <w:trHeight w:val="307"/>
                <w:jc w:val="center"/>
              </w:trPr>
              <w:tc>
                <w:tcPr>
                  <w:tcW w:w="1031" w:type="pct"/>
                  <w:shd w:val="clear" w:color="000000" w:fill="D9D9D9"/>
                  <w:vAlign w:val="center"/>
                  <w:hideMark/>
                </w:tcPr>
                <w:p w14:paraId="7AB04040" w14:textId="77777777" w:rsidR="00975FC9" w:rsidRPr="005C30CF" w:rsidRDefault="00975FC9" w:rsidP="00975FC9">
                  <w:pPr>
                    <w:spacing w:after="0"/>
                    <w:rPr>
                      <w:rFonts w:ascii="Arial" w:hAnsi="Arial" w:cs="Arial"/>
                      <w:b/>
                      <w:bCs/>
                      <w:sz w:val="12"/>
                      <w:szCs w:val="18"/>
                      <w:lang w:val="en-US"/>
                    </w:rPr>
                  </w:pPr>
                  <w:r w:rsidRPr="005C30CF">
                    <w:rPr>
                      <w:rFonts w:ascii="Arial" w:hAnsi="Arial" w:cs="Arial"/>
                      <w:b/>
                      <w:bCs/>
                      <w:sz w:val="12"/>
                      <w:szCs w:val="18"/>
                      <w:lang w:val="en-US"/>
                    </w:rPr>
                    <w:t>Frequency Range</w:t>
                  </w:r>
                </w:p>
              </w:tc>
              <w:tc>
                <w:tcPr>
                  <w:tcW w:w="641" w:type="pct"/>
                  <w:shd w:val="clear" w:color="000000" w:fill="D9D9D9"/>
                  <w:vAlign w:val="center"/>
                  <w:hideMark/>
                </w:tcPr>
                <w:p w14:paraId="569DD25B" w14:textId="77777777" w:rsidR="00975FC9" w:rsidRPr="005C30CF" w:rsidRDefault="00975FC9" w:rsidP="00975FC9">
                  <w:pPr>
                    <w:spacing w:after="0"/>
                    <w:rPr>
                      <w:rFonts w:ascii="Arial" w:hAnsi="Arial" w:cs="Arial"/>
                      <w:b/>
                      <w:bCs/>
                      <w:sz w:val="12"/>
                      <w:szCs w:val="18"/>
                      <w:lang w:val="en-US"/>
                    </w:rPr>
                  </w:pPr>
                  <w:r w:rsidRPr="005C30CF">
                    <w:rPr>
                      <w:rFonts w:ascii="Arial" w:hAnsi="Arial" w:cs="Arial"/>
                      <w:b/>
                      <w:bCs/>
                      <w:sz w:val="12"/>
                      <w:szCs w:val="18"/>
                      <w:lang w:val="en-US"/>
                    </w:rPr>
                    <w:t>Scenario</w:t>
                  </w:r>
                </w:p>
              </w:tc>
              <w:tc>
                <w:tcPr>
                  <w:tcW w:w="609" w:type="pct"/>
                  <w:shd w:val="clear" w:color="000000" w:fill="D9D9D9"/>
                  <w:vAlign w:val="center"/>
                  <w:hideMark/>
                </w:tcPr>
                <w:p w14:paraId="7F9BD7AE" w14:textId="77777777" w:rsidR="00975FC9" w:rsidRPr="005C30CF" w:rsidRDefault="00975FC9" w:rsidP="00975FC9">
                  <w:pPr>
                    <w:spacing w:after="0"/>
                    <w:jc w:val="center"/>
                    <w:rPr>
                      <w:rFonts w:ascii="Arial" w:hAnsi="Arial" w:cs="Arial"/>
                      <w:b/>
                      <w:bCs/>
                      <w:sz w:val="12"/>
                      <w:szCs w:val="18"/>
                      <w:lang w:val="en-US"/>
                    </w:rPr>
                  </w:pPr>
                  <w:r w:rsidRPr="005C30CF">
                    <w:rPr>
                      <w:rFonts w:ascii="Arial" w:hAnsi="Arial" w:cs="Arial"/>
                      <w:b/>
                      <w:bCs/>
                      <w:sz w:val="12"/>
                      <w:szCs w:val="18"/>
                      <w:lang w:val="en-US"/>
                    </w:rPr>
                    <w:t>Type 1</w:t>
                  </w:r>
                </w:p>
                <w:p w14:paraId="18AE1A43" w14:textId="77777777" w:rsidR="00975FC9" w:rsidRPr="005C30CF" w:rsidRDefault="00975FC9" w:rsidP="00975FC9">
                  <w:pPr>
                    <w:spacing w:after="0"/>
                    <w:jc w:val="center"/>
                    <w:rPr>
                      <w:rFonts w:ascii="Arial" w:hAnsi="Arial" w:cs="Arial"/>
                      <w:b/>
                      <w:bCs/>
                      <w:sz w:val="12"/>
                      <w:szCs w:val="18"/>
                      <w:lang w:val="en-US"/>
                    </w:rPr>
                  </w:pPr>
                  <w:r w:rsidRPr="005C30CF">
                    <w:rPr>
                      <w:rFonts w:ascii="Arial" w:hAnsi="Arial" w:cs="Arial"/>
                      <w:b/>
                      <w:bCs/>
                      <w:sz w:val="12"/>
                      <w:szCs w:val="18"/>
                      <w:lang w:val="en-US"/>
                    </w:rPr>
                    <w:t>Delay (us)</w:t>
                  </w:r>
                </w:p>
              </w:tc>
              <w:tc>
                <w:tcPr>
                  <w:tcW w:w="661" w:type="pct"/>
                  <w:shd w:val="clear" w:color="000000" w:fill="D9D9D9"/>
                </w:tcPr>
                <w:p w14:paraId="6A322D1E" w14:textId="77777777" w:rsidR="00975FC9" w:rsidRPr="005C30CF" w:rsidRDefault="00975FC9" w:rsidP="00975FC9">
                  <w:pPr>
                    <w:spacing w:after="0"/>
                    <w:jc w:val="center"/>
                    <w:rPr>
                      <w:rFonts w:ascii="Arial" w:hAnsi="Arial" w:cs="Arial"/>
                      <w:b/>
                      <w:bCs/>
                      <w:sz w:val="12"/>
                      <w:szCs w:val="18"/>
                      <w:lang w:val="en-US"/>
                    </w:rPr>
                  </w:pPr>
                  <w:r w:rsidRPr="005C30CF">
                    <w:rPr>
                      <w:rFonts w:ascii="Arial" w:hAnsi="Arial" w:cs="Arial"/>
                      <w:b/>
                      <w:bCs/>
                      <w:sz w:val="12"/>
                      <w:szCs w:val="18"/>
                      <w:lang w:val="en-US"/>
                    </w:rPr>
                    <w:t>Type 2</w:t>
                  </w:r>
                </w:p>
                <w:p w14:paraId="21F9BB41" w14:textId="77777777" w:rsidR="00975FC9" w:rsidRPr="005C30CF" w:rsidRDefault="00975FC9" w:rsidP="00975FC9">
                  <w:pPr>
                    <w:spacing w:after="0"/>
                    <w:jc w:val="center"/>
                    <w:rPr>
                      <w:rFonts w:ascii="Arial" w:hAnsi="Arial" w:cs="Arial"/>
                      <w:b/>
                      <w:bCs/>
                      <w:sz w:val="12"/>
                      <w:szCs w:val="18"/>
                      <w:lang w:val="en-US"/>
                    </w:rPr>
                  </w:pPr>
                  <w:r w:rsidRPr="005C30CF">
                    <w:rPr>
                      <w:rFonts w:ascii="Arial" w:hAnsi="Arial" w:cs="Arial"/>
                      <w:b/>
                      <w:bCs/>
                      <w:sz w:val="12"/>
                      <w:szCs w:val="18"/>
                      <w:lang w:val="en-US"/>
                    </w:rPr>
                    <w:t>Delay (us)</w:t>
                  </w:r>
                </w:p>
              </w:tc>
              <w:tc>
                <w:tcPr>
                  <w:tcW w:w="2059" w:type="pct"/>
                  <w:shd w:val="clear" w:color="000000" w:fill="D9D9D9"/>
                  <w:vAlign w:val="center"/>
                </w:tcPr>
                <w:p w14:paraId="049180E9" w14:textId="77777777" w:rsidR="00975FC9" w:rsidRPr="005C30CF" w:rsidRDefault="00975FC9" w:rsidP="00975FC9">
                  <w:pPr>
                    <w:spacing w:after="0"/>
                    <w:jc w:val="center"/>
                    <w:rPr>
                      <w:rFonts w:ascii="Arial" w:hAnsi="Arial" w:cs="Arial"/>
                      <w:b/>
                      <w:bCs/>
                      <w:sz w:val="12"/>
                      <w:szCs w:val="18"/>
                      <w:lang w:val="en-US"/>
                    </w:rPr>
                  </w:pPr>
                  <w:r w:rsidRPr="005C30CF">
                    <w:rPr>
                      <w:rFonts w:ascii="Arial" w:hAnsi="Arial" w:cs="Arial"/>
                      <w:b/>
                      <w:bCs/>
                      <w:sz w:val="12"/>
                      <w:szCs w:val="18"/>
                      <w:lang w:val="en-US"/>
                    </w:rPr>
                    <w:t>Comment</w:t>
                  </w:r>
                </w:p>
              </w:tc>
            </w:tr>
            <w:tr w:rsidR="00975FC9" w:rsidRPr="005C30CF" w14:paraId="2C1C6E81" w14:textId="77777777" w:rsidTr="00A82FBF">
              <w:trPr>
                <w:trHeight w:val="14"/>
                <w:jc w:val="center"/>
              </w:trPr>
              <w:tc>
                <w:tcPr>
                  <w:tcW w:w="1031" w:type="pct"/>
                  <w:vMerge w:val="restart"/>
                  <w:shd w:val="clear" w:color="auto" w:fill="auto"/>
                  <w:vAlign w:val="center"/>
                  <w:hideMark/>
                </w:tcPr>
                <w:p w14:paraId="108C260C" w14:textId="77777777" w:rsidR="00975FC9" w:rsidRPr="005C30CF" w:rsidRDefault="00975FC9" w:rsidP="00975FC9">
                  <w:pPr>
                    <w:spacing w:after="0"/>
                    <w:jc w:val="right"/>
                    <w:rPr>
                      <w:rFonts w:ascii="Arial" w:hAnsi="Arial" w:cs="Arial"/>
                      <w:sz w:val="12"/>
                      <w:szCs w:val="18"/>
                      <w:lang w:val="en-US"/>
                    </w:rPr>
                  </w:pPr>
                  <w:r w:rsidRPr="005C30CF">
                    <w:rPr>
                      <w:rFonts w:ascii="Arial" w:hAnsi="Arial" w:cs="Arial"/>
                      <w:sz w:val="12"/>
                      <w:szCs w:val="18"/>
                      <w:lang w:val="en-US"/>
                    </w:rPr>
                    <w:t>1</w:t>
                  </w:r>
                </w:p>
              </w:tc>
              <w:tc>
                <w:tcPr>
                  <w:tcW w:w="641" w:type="pct"/>
                  <w:shd w:val="clear" w:color="auto" w:fill="auto"/>
                  <w:vAlign w:val="center"/>
                  <w:hideMark/>
                </w:tcPr>
                <w:p w14:paraId="6B9C4CDC" w14:textId="77777777" w:rsidR="00975FC9" w:rsidRPr="005C30CF" w:rsidRDefault="00975FC9" w:rsidP="00975FC9">
                  <w:pPr>
                    <w:spacing w:after="0"/>
                    <w:jc w:val="right"/>
                    <w:rPr>
                      <w:rFonts w:ascii="Arial" w:hAnsi="Arial" w:cs="Arial"/>
                      <w:sz w:val="12"/>
                      <w:szCs w:val="18"/>
                      <w:lang w:val="en-US"/>
                    </w:rPr>
                  </w:pPr>
                  <w:r w:rsidRPr="005C30CF">
                    <w:rPr>
                      <w:rFonts w:ascii="Arial" w:hAnsi="Arial" w:cs="Arial"/>
                      <w:sz w:val="12"/>
                      <w:szCs w:val="18"/>
                      <w:lang w:val="en-US"/>
                    </w:rPr>
                    <w:t>1</w:t>
                  </w:r>
                </w:p>
              </w:tc>
              <w:tc>
                <w:tcPr>
                  <w:tcW w:w="609" w:type="pct"/>
                  <w:shd w:val="clear" w:color="auto" w:fill="auto"/>
                  <w:vAlign w:val="center"/>
                  <w:hideMark/>
                </w:tcPr>
                <w:p w14:paraId="663D7E18" w14:textId="77777777" w:rsidR="00975FC9" w:rsidRPr="005C30CF" w:rsidRDefault="00975FC9" w:rsidP="00975FC9">
                  <w:pPr>
                    <w:spacing w:after="0"/>
                    <w:jc w:val="right"/>
                    <w:rPr>
                      <w:rFonts w:ascii="Arial" w:hAnsi="Arial" w:cs="Arial"/>
                      <w:sz w:val="12"/>
                      <w:szCs w:val="18"/>
                      <w:lang w:val="en-US"/>
                    </w:rPr>
                  </w:pPr>
                  <w:r w:rsidRPr="005C30CF">
                    <w:rPr>
                      <w:rFonts w:ascii="Arial" w:hAnsi="Arial" w:cs="Arial"/>
                      <w:sz w:val="12"/>
                      <w:szCs w:val="18"/>
                      <w:lang w:val="en-US"/>
                    </w:rPr>
                    <w:t>600</w:t>
                  </w:r>
                </w:p>
              </w:tc>
              <w:tc>
                <w:tcPr>
                  <w:tcW w:w="661" w:type="pct"/>
                </w:tcPr>
                <w:p w14:paraId="601B4764" w14:textId="77777777" w:rsidR="00975FC9" w:rsidRPr="005C30CF" w:rsidRDefault="00975FC9" w:rsidP="00975FC9">
                  <w:pPr>
                    <w:spacing w:after="0"/>
                    <w:jc w:val="right"/>
                    <w:rPr>
                      <w:rFonts w:ascii="Arial" w:hAnsi="Arial" w:cs="Arial"/>
                      <w:sz w:val="12"/>
                      <w:szCs w:val="18"/>
                      <w:lang w:val="en-US"/>
                    </w:rPr>
                  </w:pPr>
                  <w:r w:rsidRPr="005C30CF">
                    <w:rPr>
                      <w:rFonts w:ascii="Arial" w:hAnsi="Arial" w:cs="Arial"/>
                      <w:sz w:val="12"/>
                      <w:szCs w:val="18"/>
                      <w:lang w:val="en-US"/>
                    </w:rPr>
                    <w:t xml:space="preserve"> 2000</w:t>
                  </w:r>
                </w:p>
              </w:tc>
              <w:tc>
                <w:tcPr>
                  <w:tcW w:w="2059" w:type="pct"/>
                </w:tcPr>
                <w:p w14:paraId="118EBE05" w14:textId="77777777" w:rsidR="00975FC9" w:rsidRPr="005C30CF" w:rsidRDefault="00975FC9" w:rsidP="00975FC9">
                  <w:pPr>
                    <w:spacing w:after="0"/>
                    <w:jc w:val="right"/>
                    <w:rPr>
                      <w:rFonts w:ascii="Arial" w:hAnsi="Arial" w:cs="Arial"/>
                      <w:sz w:val="12"/>
                      <w:szCs w:val="18"/>
                      <w:lang w:val="en-US"/>
                    </w:rPr>
                  </w:pPr>
                </w:p>
              </w:tc>
            </w:tr>
            <w:tr w:rsidR="00975FC9" w:rsidRPr="005C30CF" w14:paraId="2972BA54" w14:textId="77777777" w:rsidTr="00A82FBF">
              <w:trPr>
                <w:trHeight w:val="14"/>
                <w:jc w:val="center"/>
              </w:trPr>
              <w:tc>
                <w:tcPr>
                  <w:tcW w:w="1031" w:type="pct"/>
                  <w:vMerge/>
                  <w:vAlign w:val="center"/>
                  <w:hideMark/>
                </w:tcPr>
                <w:p w14:paraId="59C8168A" w14:textId="77777777" w:rsidR="00975FC9" w:rsidRPr="005C30CF" w:rsidRDefault="00975FC9" w:rsidP="00975FC9">
                  <w:pPr>
                    <w:spacing w:after="0"/>
                    <w:rPr>
                      <w:rFonts w:ascii="Arial" w:hAnsi="Arial" w:cs="Arial"/>
                      <w:sz w:val="12"/>
                      <w:szCs w:val="18"/>
                      <w:lang w:val="en-US"/>
                    </w:rPr>
                  </w:pPr>
                </w:p>
              </w:tc>
              <w:tc>
                <w:tcPr>
                  <w:tcW w:w="641" w:type="pct"/>
                  <w:shd w:val="clear" w:color="auto" w:fill="auto"/>
                  <w:vAlign w:val="center"/>
                  <w:hideMark/>
                </w:tcPr>
                <w:p w14:paraId="6C159781" w14:textId="77777777" w:rsidR="00975FC9" w:rsidRPr="005C30CF" w:rsidRDefault="00975FC9" w:rsidP="00975FC9">
                  <w:pPr>
                    <w:spacing w:after="0"/>
                    <w:jc w:val="right"/>
                    <w:rPr>
                      <w:rFonts w:ascii="Arial" w:hAnsi="Arial" w:cs="Arial"/>
                      <w:sz w:val="12"/>
                      <w:szCs w:val="18"/>
                      <w:lang w:val="en-US"/>
                    </w:rPr>
                  </w:pPr>
                  <w:r w:rsidRPr="005C30CF">
                    <w:rPr>
                      <w:rFonts w:ascii="Arial" w:hAnsi="Arial" w:cs="Arial"/>
                      <w:sz w:val="12"/>
                      <w:szCs w:val="18"/>
                      <w:lang w:val="en-US"/>
                    </w:rPr>
                    <w:t>2</w:t>
                  </w:r>
                </w:p>
              </w:tc>
              <w:tc>
                <w:tcPr>
                  <w:tcW w:w="609" w:type="pct"/>
                  <w:shd w:val="clear" w:color="auto" w:fill="auto"/>
                  <w:vAlign w:val="center"/>
                  <w:hideMark/>
                </w:tcPr>
                <w:p w14:paraId="136214DF" w14:textId="77777777" w:rsidR="00975FC9" w:rsidRPr="005C30CF" w:rsidRDefault="00975FC9" w:rsidP="00975FC9">
                  <w:pPr>
                    <w:spacing w:after="0"/>
                    <w:jc w:val="right"/>
                    <w:rPr>
                      <w:rFonts w:ascii="Arial" w:hAnsi="Arial" w:cs="Arial"/>
                      <w:sz w:val="12"/>
                      <w:szCs w:val="18"/>
                      <w:lang w:val="en-US"/>
                    </w:rPr>
                  </w:pPr>
                  <w:r w:rsidRPr="005C30CF">
                    <w:rPr>
                      <w:rFonts w:ascii="Arial" w:hAnsi="Arial" w:cs="Arial"/>
                      <w:sz w:val="12"/>
                      <w:szCs w:val="18"/>
                      <w:lang w:val="en-US"/>
                    </w:rPr>
                    <w:t>600</w:t>
                  </w:r>
                </w:p>
              </w:tc>
              <w:tc>
                <w:tcPr>
                  <w:tcW w:w="661" w:type="pct"/>
                </w:tcPr>
                <w:p w14:paraId="34C75CCB" w14:textId="77777777" w:rsidR="00975FC9" w:rsidRPr="005C30CF" w:rsidRDefault="00975FC9" w:rsidP="00975FC9">
                  <w:pPr>
                    <w:spacing w:after="0"/>
                    <w:jc w:val="right"/>
                    <w:rPr>
                      <w:rFonts w:ascii="Arial" w:hAnsi="Arial" w:cs="Arial"/>
                      <w:sz w:val="12"/>
                      <w:szCs w:val="18"/>
                      <w:lang w:val="en-US"/>
                    </w:rPr>
                  </w:pPr>
                  <w:r w:rsidRPr="005C30CF">
                    <w:rPr>
                      <w:rFonts w:ascii="Arial" w:hAnsi="Arial" w:cs="Arial"/>
                      <w:sz w:val="12"/>
                      <w:szCs w:val="18"/>
                      <w:lang w:val="en-US"/>
                    </w:rPr>
                    <w:t xml:space="preserve"> 2000</w:t>
                  </w:r>
                </w:p>
              </w:tc>
              <w:tc>
                <w:tcPr>
                  <w:tcW w:w="2059" w:type="pct"/>
                </w:tcPr>
                <w:p w14:paraId="5F3FB0E9" w14:textId="77777777" w:rsidR="00975FC9" w:rsidRPr="005C30CF" w:rsidRDefault="00975FC9" w:rsidP="00975FC9">
                  <w:pPr>
                    <w:spacing w:after="0"/>
                    <w:jc w:val="right"/>
                    <w:rPr>
                      <w:rFonts w:ascii="Arial" w:hAnsi="Arial" w:cs="Arial"/>
                      <w:sz w:val="12"/>
                      <w:szCs w:val="18"/>
                      <w:lang w:val="en-US"/>
                    </w:rPr>
                  </w:pPr>
                </w:p>
              </w:tc>
            </w:tr>
            <w:tr w:rsidR="00975FC9" w:rsidRPr="005C30CF" w14:paraId="7F69F466" w14:textId="77777777" w:rsidTr="00A82FBF">
              <w:trPr>
                <w:trHeight w:val="14"/>
                <w:jc w:val="center"/>
              </w:trPr>
              <w:tc>
                <w:tcPr>
                  <w:tcW w:w="1031" w:type="pct"/>
                  <w:vMerge/>
                  <w:vAlign w:val="center"/>
                  <w:hideMark/>
                </w:tcPr>
                <w:p w14:paraId="316300A2" w14:textId="77777777" w:rsidR="00975FC9" w:rsidRPr="005C30CF" w:rsidRDefault="00975FC9" w:rsidP="00975FC9">
                  <w:pPr>
                    <w:spacing w:after="0"/>
                    <w:rPr>
                      <w:rFonts w:ascii="Arial" w:hAnsi="Arial" w:cs="Arial"/>
                      <w:sz w:val="12"/>
                      <w:szCs w:val="18"/>
                      <w:lang w:val="en-US"/>
                    </w:rPr>
                  </w:pPr>
                </w:p>
              </w:tc>
              <w:tc>
                <w:tcPr>
                  <w:tcW w:w="641" w:type="pct"/>
                  <w:shd w:val="clear" w:color="auto" w:fill="auto"/>
                  <w:vAlign w:val="center"/>
                  <w:hideMark/>
                </w:tcPr>
                <w:p w14:paraId="3E1C11B5" w14:textId="77777777" w:rsidR="00975FC9" w:rsidRPr="005C30CF" w:rsidRDefault="00975FC9" w:rsidP="00975FC9">
                  <w:pPr>
                    <w:spacing w:after="0"/>
                    <w:jc w:val="right"/>
                    <w:rPr>
                      <w:rFonts w:ascii="Arial" w:hAnsi="Arial" w:cs="Arial"/>
                      <w:sz w:val="12"/>
                      <w:szCs w:val="18"/>
                      <w:lang w:val="en-US"/>
                    </w:rPr>
                  </w:pPr>
                  <w:r w:rsidRPr="005C30CF">
                    <w:rPr>
                      <w:rFonts w:ascii="Arial" w:hAnsi="Arial" w:cs="Arial"/>
                      <w:sz w:val="12"/>
                      <w:szCs w:val="18"/>
                      <w:lang w:val="en-US"/>
                    </w:rPr>
                    <w:t>3</w:t>
                  </w:r>
                </w:p>
              </w:tc>
              <w:tc>
                <w:tcPr>
                  <w:tcW w:w="609" w:type="pct"/>
                  <w:shd w:val="clear" w:color="auto" w:fill="auto"/>
                  <w:vAlign w:val="center"/>
                  <w:hideMark/>
                </w:tcPr>
                <w:p w14:paraId="55E011D6" w14:textId="77777777" w:rsidR="00975FC9" w:rsidRPr="005C30CF" w:rsidRDefault="00975FC9" w:rsidP="00975FC9">
                  <w:pPr>
                    <w:spacing w:after="0"/>
                    <w:jc w:val="right"/>
                    <w:rPr>
                      <w:rFonts w:ascii="Arial" w:hAnsi="Arial" w:cs="Arial"/>
                      <w:sz w:val="12"/>
                      <w:szCs w:val="18"/>
                      <w:lang w:val="en-US"/>
                    </w:rPr>
                  </w:pPr>
                  <w:r w:rsidRPr="005C30CF">
                    <w:rPr>
                      <w:rFonts w:ascii="Arial" w:hAnsi="Arial" w:cs="Arial"/>
                      <w:sz w:val="12"/>
                      <w:szCs w:val="18"/>
                      <w:lang w:val="en-US"/>
                    </w:rPr>
                    <w:t>600</w:t>
                  </w:r>
                </w:p>
              </w:tc>
              <w:tc>
                <w:tcPr>
                  <w:tcW w:w="661" w:type="pct"/>
                </w:tcPr>
                <w:p w14:paraId="10192AB8" w14:textId="77777777" w:rsidR="00975FC9" w:rsidRPr="005C30CF" w:rsidRDefault="00975FC9" w:rsidP="00975FC9">
                  <w:pPr>
                    <w:spacing w:after="0"/>
                    <w:jc w:val="right"/>
                    <w:rPr>
                      <w:rFonts w:ascii="Arial" w:hAnsi="Arial" w:cs="Arial"/>
                      <w:sz w:val="12"/>
                      <w:szCs w:val="18"/>
                      <w:lang w:val="en-US"/>
                    </w:rPr>
                  </w:pPr>
                  <w:r w:rsidRPr="005C30CF">
                    <w:rPr>
                      <w:rFonts w:ascii="Arial" w:hAnsi="Arial" w:cs="Arial"/>
                      <w:sz w:val="12"/>
                      <w:szCs w:val="18"/>
                      <w:lang w:val="en-US"/>
                    </w:rPr>
                    <w:t xml:space="preserve"> 2000</w:t>
                  </w:r>
                </w:p>
              </w:tc>
              <w:tc>
                <w:tcPr>
                  <w:tcW w:w="2059" w:type="pct"/>
                </w:tcPr>
                <w:p w14:paraId="30887E81" w14:textId="77777777" w:rsidR="00975FC9" w:rsidRPr="005C30CF" w:rsidRDefault="00975FC9" w:rsidP="00975FC9">
                  <w:pPr>
                    <w:spacing w:after="0"/>
                    <w:jc w:val="right"/>
                    <w:rPr>
                      <w:rFonts w:ascii="Arial" w:hAnsi="Arial" w:cs="Arial"/>
                      <w:sz w:val="12"/>
                      <w:szCs w:val="18"/>
                      <w:lang w:val="en-US"/>
                    </w:rPr>
                  </w:pPr>
                </w:p>
              </w:tc>
            </w:tr>
            <w:tr w:rsidR="00975FC9" w:rsidRPr="005C30CF" w14:paraId="42FDAFBA" w14:textId="77777777" w:rsidTr="00A82FBF">
              <w:trPr>
                <w:trHeight w:val="14"/>
                <w:jc w:val="center"/>
              </w:trPr>
              <w:tc>
                <w:tcPr>
                  <w:tcW w:w="1031" w:type="pct"/>
                  <w:vMerge/>
                  <w:vAlign w:val="center"/>
                  <w:hideMark/>
                </w:tcPr>
                <w:p w14:paraId="1ED1EF95" w14:textId="77777777" w:rsidR="00975FC9" w:rsidRPr="005C30CF" w:rsidRDefault="00975FC9" w:rsidP="00975FC9">
                  <w:pPr>
                    <w:spacing w:after="0"/>
                    <w:rPr>
                      <w:rFonts w:ascii="Arial" w:hAnsi="Arial" w:cs="Arial"/>
                      <w:sz w:val="12"/>
                      <w:szCs w:val="18"/>
                      <w:lang w:val="en-US"/>
                    </w:rPr>
                  </w:pPr>
                </w:p>
              </w:tc>
              <w:tc>
                <w:tcPr>
                  <w:tcW w:w="641" w:type="pct"/>
                  <w:shd w:val="clear" w:color="auto" w:fill="auto"/>
                  <w:vAlign w:val="center"/>
                  <w:hideMark/>
                </w:tcPr>
                <w:p w14:paraId="76E0EAC9" w14:textId="77777777" w:rsidR="00975FC9" w:rsidRPr="005C30CF" w:rsidRDefault="00975FC9" w:rsidP="00975FC9">
                  <w:pPr>
                    <w:spacing w:after="0"/>
                    <w:jc w:val="right"/>
                    <w:rPr>
                      <w:rFonts w:ascii="Arial" w:hAnsi="Arial" w:cs="Arial"/>
                      <w:sz w:val="12"/>
                      <w:szCs w:val="18"/>
                      <w:lang w:val="en-US"/>
                    </w:rPr>
                  </w:pPr>
                  <w:r w:rsidRPr="005C30CF">
                    <w:rPr>
                      <w:rFonts w:ascii="Arial" w:hAnsi="Arial" w:cs="Arial"/>
                      <w:sz w:val="12"/>
                      <w:szCs w:val="18"/>
                      <w:lang w:val="en-US"/>
                    </w:rPr>
                    <w:t>4</w:t>
                  </w:r>
                </w:p>
              </w:tc>
              <w:tc>
                <w:tcPr>
                  <w:tcW w:w="609" w:type="pct"/>
                  <w:shd w:val="clear" w:color="auto" w:fill="auto"/>
                  <w:vAlign w:val="center"/>
                  <w:hideMark/>
                </w:tcPr>
                <w:p w14:paraId="2D9C220C" w14:textId="77777777" w:rsidR="00975FC9" w:rsidRPr="005C30CF" w:rsidRDefault="00975FC9" w:rsidP="00975FC9">
                  <w:pPr>
                    <w:spacing w:after="0"/>
                    <w:jc w:val="right"/>
                    <w:rPr>
                      <w:rFonts w:ascii="Arial" w:hAnsi="Arial" w:cs="Arial"/>
                      <w:sz w:val="12"/>
                      <w:szCs w:val="18"/>
                      <w:lang w:val="en-US"/>
                    </w:rPr>
                  </w:pPr>
                  <w:r w:rsidRPr="005C30CF">
                    <w:rPr>
                      <w:rFonts w:ascii="Arial" w:hAnsi="Arial" w:cs="Arial"/>
                      <w:sz w:val="12"/>
                      <w:szCs w:val="18"/>
                      <w:lang w:val="en-US"/>
                    </w:rPr>
                    <w:t>400</w:t>
                  </w:r>
                </w:p>
              </w:tc>
              <w:tc>
                <w:tcPr>
                  <w:tcW w:w="661" w:type="pct"/>
                </w:tcPr>
                <w:p w14:paraId="59D2F81B" w14:textId="77777777" w:rsidR="00975FC9" w:rsidRPr="005C30CF" w:rsidRDefault="00975FC9" w:rsidP="00975FC9">
                  <w:pPr>
                    <w:spacing w:after="0"/>
                    <w:jc w:val="right"/>
                    <w:rPr>
                      <w:rFonts w:ascii="Arial" w:hAnsi="Arial" w:cs="Arial"/>
                      <w:sz w:val="12"/>
                      <w:szCs w:val="18"/>
                      <w:lang w:val="en-US"/>
                    </w:rPr>
                  </w:pPr>
                  <w:r w:rsidRPr="005C30CF">
                    <w:rPr>
                      <w:rFonts w:ascii="Arial" w:hAnsi="Arial" w:cs="Arial"/>
                      <w:sz w:val="12"/>
                      <w:szCs w:val="18"/>
                      <w:lang w:val="en-US"/>
                    </w:rPr>
                    <w:t>950</w:t>
                  </w:r>
                </w:p>
              </w:tc>
              <w:tc>
                <w:tcPr>
                  <w:tcW w:w="2059" w:type="pct"/>
                </w:tcPr>
                <w:p w14:paraId="0D85042B" w14:textId="77777777" w:rsidR="00975FC9" w:rsidRPr="005C30CF" w:rsidRDefault="00975FC9" w:rsidP="00975FC9">
                  <w:pPr>
                    <w:spacing w:after="0"/>
                    <w:jc w:val="right"/>
                    <w:rPr>
                      <w:rFonts w:ascii="Arial" w:hAnsi="Arial" w:cs="Arial"/>
                      <w:sz w:val="12"/>
                      <w:szCs w:val="18"/>
                      <w:lang w:val="en-US"/>
                    </w:rPr>
                  </w:pPr>
                  <w:r w:rsidRPr="005C30CF">
                    <w:rPr>
                      <w:rFonts w:ascii="Arial" w:hAnsi="Arial" w:cs="Arial"/>
                      <w:sz w:val="12"/>
                      <w:szCs w:val="18"/>
                      <w:lang w:val="en-US"/>
                    </w:rPr>
                    <w:t>No delay required from the RF perspective</w:t>
                  </w:r>
                </w:p>
              </w:tc>
            </w:tr>
            <w:tr w:rsidR="00975FC9" w:rsidRPr="005C30CF" w14:paraId="47FFCE1D" w14:textId="77777777" w:rsidTr="00A82FBF">
              <w:trPr>
                <w:trHeight w:val="14"/>
                <w:jc w:val="center"/>
              </w:trPr>
              <w:tc>
                <w:tcPr>
                  <w:tcW w:w="1031" w:type="pct"/>
                  <w:vMerge w:val="restart"/>
                  <w:shd w:val="clear" w:color="auto" w:fill="auto"/>
                  <w:vAlign w:val="center"/>
                  <w:hideMark/>
                </w:tcPr>
                <w:p w14:paraId="194B3EB3" w14:textId="77777777" w:rsidR="00975FC9" w:rsidRPr="005C30CF" w:rsidRDefault="00975FC9" w:rsidP="00975FC9">
                  <w:pPr>
                    <w:spacing w:after="0"/>
                    <w:jc w:val="right"/>
                    <w:rPr>
                      <w:rFonts w:ascii="Arial" w:hAnsi="Arial" w:cs="Arial"/>
                      <w:sz w:val="12"/>
                      <w:szCs w:val="18"/>
                      <w:lang w:val="en-US"/>
                    </w:rPr>
                  </w:pPr>
                  <w:r w:rsidRPr="005C30CF">
                    <w:rPr>
                      <w:rFonts w:ascii="Arial" w:hAnsi="Arial" w:cs="Arial"/>
                      <w:sz w:val="12"/>
                      <w:szCs w:val="18"/>
                      <w:lang w:val="en-US"/>
                    </w:rPr>
                    <w:t>2</w:t>
                  </w:r>
                </w:p>
              </w:tc>
              <w:tc>
                <w:tcPr>
                  <w:tcW w:w="641" w:type="pct"/>
                  <w:shd w:val="clear" w:color="auto" w:fill="auto"/>
                  <w:vAlign w:val="center"/>
                  <w:hideMark/>
                </w:tcPr>
                <w:p w14:paraId="76B1217B" w14:textId="77777777" w:rsidR="00975FC9" w:rsidRPr="005C30CF" w:rsidRDefault="00975FC9" w:rsidP="00975FC9">
                  <w:pPr>
                    <w:spacing w:after="0"/>
                    <w:jc w:val="right"/>
                    <w:rPr>
                      <w:rFonts w:ascii="Arial" w:hAnsi="Arial" w:cs="Arial"/>
                      <w:sz w:val="12"/>
                      <w:szCs w:val="18"/>
                      <w:lang w:val="en-US"/>
                    </w:rPr>
                  </w:pPr>
                  <w:r w:rsidRPr="005C30CF">
                    <w:rPr>
                      <w:rFonts w:ascii="Arial" w:hAnsi="Arial" w:cs="Arial"/>
                      <w:sz w:val="12"/>
                      <w:szCs w:val="18"/>
                      <w:lang w:val="en-US"/>
                    </w:rPr>
                    <w:t>1</w:t>
                  </w:r>
                </w:p>
              </w:tc>
              <w:tc>
                <w:tcPr>
                  <w:tcW w:w="609" w:type="pct"/>
                  <w:shd w:val="clear" w:color="auto" w:fill="auto"/>
                  <w:vAlign w:val="center"/>
                  <w:hideMark/>
                </w:tcPr>
                <w:p w14:paraId="045E5E54" w14:textId="77777777" w:rsidR="00975FC9" w:rsidRPr="005C30CF" w:rsidRDefault="00975FC9" w:rsidP="00975FC9">
                  <w:pPr>
                    <w:spacing w:after="0"/>
                    <w:jc w:val="right"/>
                    <w:rPr>
                      <w:rFonts w:ascii="Arial" w:hAnsi="Arial" w:cs="Arial"/>
                      <w:sz w:val="12"/>
                      <w:szCs w:val="18"/>
                      <w:lang w:val="en-US"/>
                    </w:rPr>
                  </w:pPr>
                  <w:r w:rsidRPr="005C30CF">
                    <w:rPr>
                      <w:rFonts w:ascii="Arial" w:hAnsi="Arial" w:cs="Arial"/>
                      <w:sz w:val="12"/>
                      <w:szCs w:val="18"/>
                      <w:lang w:val="en-US"/>
                    </w:rPr>
                    <w:t>600</w:t>
                  </w:r>
                </w:p>
              </w:tc>
              <w:tc>
                <w:tcPr>
                  <w:tcW w:w="661" w:type="pct"/>
                </w:tcPr>
                <w:p w14:paraId="33556CB2" w14:textId="77777777" w:rsidR="00975FC9" w:rsidRPr="005C30CF" w:rsidRDefault="00975FC9" w:rsidP="00975FC9">
                  <w:pPr>
                    <w:spacing w:after="0"/>
                    <w:jc w:val="right"/>
                    <w:rPr>
                      <w:rFonts w:ascii="Arial" w:hAnsi="Arial" w:cs="Arial"/>
                      <w:sz w:val="12"/>
                      <w:szCs w:val="18"/>
                      <w:lang w:val="en-US"/>
                    </w:rPr>
                  </w:pPr>
                  <w:r w:rsidRPr="005C30CF">
                    <w:rPr>
                      <w:rFonts w:ascii="Arial" w:hAnsi="Arial" w:cs="Arial"/>
                      <w:sz w:val="12"/>
                      <w:szCs w:val="18"/>
                      <w:lang w:val="en-US"/>
                    </w:rPr>
                    <w:t xml:space="preserve"> 2000</w:t>
                  </w:r>
                </w:p>
              </w:tc>
              <w:tc>
                <w:tcPr>
                  <w:tcW w:w="2059" w:type="pct"/>
                </w:tcPr>
                <w:p w14:paraId="6F37BAA2" w14:textId="77777777" w:rsidR="00975FC9" w:rsidRPr="005C30CF" w:rsidRDefault="00975FC9" w:rsidP="00975FC9">
                  <w:pPr>
                    <w:spacing w:after="0"/>
                    <w:jc w:val="right"/>
                    <w:rPr>
                      <w:rFonts w:ascii="Arial" w:hAnsi="Arial" w:cs="Arial"/>
                      <w:sz w:val="12"/>
                      <w:szCs w:val="18"/>
                      <w:lang w:val="en-US"/>
                    </w:rPr>
                  </w:pPr>
                </w:p>
              </w:tc>
            </w:tr>
            <w:tr w:rsidR="00975FC9" w:rsidRPr="005C30CF" w14:paraId="170146F9" w14:textId="77777777" w:rsidTr="00A82FBF">
              <w:trPr>
                <w:trHeight w:val="14"/>
                <w:jc w:val="center"/>
              </w:trPr>
              <w:tc>
                <w:tcPr>
                  <w:tcW w:w="1031" w:type="pct"/>
                  <w:vMerge/>
                  <w:vAlign w:val="center"/>
                  <w:hideMark/>
                </w:tcPr>
                <w:p w14:paraId="3B9312B7" w14:textId="77777777" w:rsidR="00975FC9" w:rsidRPr="005C30CF" w:rsidRDefault="00975FC9" w:rsidP="00975FC9">
                  <w:pPr>
                    <w:spacing w:after="0"/>
                    <w:rPr>
                      <w:rFonts w:ascii="Arial" w:hAnsi="Arial" w:cs="Arial"/>
                      <w:sz w:val="12"/>
                      <w:szCs w:val="18"/>
                      <w:lang w:val="en-US"/>
                    </w:rPr>
                  </w:pPr>
                </w:p>
              </w:tc>
              <w:tc>
                <w:tcPr>
                  <w:tcW w:w="641" w:type="pct"/>
                  <w:shd w:val="clear" w:color="auto" w:fill="auto"/>
                  <w:vAlign w:val="center"/>
                  <w:hideMark/>
                </w:tcPr>
                <w:p w14:paraId="1441CAB4" w14:textId="77777777" w:rsidR="00975FC9" w:rsidRPr="005C30CF" w:rsidRDefault="00975FC9" w:rsidP="00975FC9">
                  <w:pPr>
                    <w:spacing w:after="0"/>
                    <w:jc w:val="right"/>
                    <w:rPr>
                      <w:rFonts w:ascii="Arial" w:hAnsi="Arial" w:cs="Arial"/>
                      <w:sz w:val="12"/>
                      <w:szCs w:val="18"/>
                      <w:lang w:val="en-US"/>
                    </w:rPr>
                  </w:pPr>
                  <w:r w:rsidRPr="005C30CF">
                    <w:rPr>
                      <w:rFonts w:ascii="Arial" w:hAnsi="Arial" w:cs="Arial"/>
                      <w:sz w:val="12"/>
                      <w:szCs w:val="18"/>
                      <w:lang w:val="en-US"/>
                    </w:rPr>
                    <w:t>2</w:t>
                  </w:r>
                </w:p>
              </w:tc>
              <w:tc>
                <w:tcPr>
                  <w:tcW w:w="609" w:type="pct"/>
                  <w:shd w:val="clear" w:color="auto" w:fill="auto"/>
                  <w:vAlign w:val="center"/>
                  <w:hideMark/>
                </w:tcPr>
                <w:p w14:paraId="3B0A1529" w14:textId="77777777" w:rsidR="00975FC9" w:rsidRPr="005C30CF" w:rsidRDefault="00975FC9" w:rsidP="00975FC9">
                  <w:pPr>
                    <w:spacing w:after="0"/>
                    <w:jc w:val="right"/>
                    <w:rPr>
                      <w:rFonts w:ascii="Arial" w:hAnsi="Arial" w:cs="Arial"/>
                      <w:sz w:val="12"/>
                      <w:szCs w:val="18"/>
                      <w:lang w:val="en-US"/>
                    </w:rPr>
                  </w:pPr>
                  <w:r w:rsidRPr="005C30CF">
                    <w:rPr>
                      <w:rFonts w:ascii="Arial" w:hAnsi="Arial" w:cs="Arial"/>
                      <w:sz w:val="12"/>
                      <w:szCs w:val="18"/>
                      <w:lang w:val="en-US"/>
                    </w:rPr>
                    <w:t>600</w:t>
                  </w:r>
                </w:p>
              </w:tc>
              <w:tc>
                <w:tcPr>
                  <w:tcW w:w="661" w:type="pct"/>
                </w:tcPr>
                <w:p w14:paraId="0CDAA176" w14:textId="77777777" w:rsidR="00975FC9" w:rsidRPr="005C30CF" w:rsidRDefault="00975FC9" w:rsidP="00975FC9">
                  <w:pPr>
                    <w:spacing w:after="0"/>
                    <w:jc w:val="right"/>
                    <w:rPr>
                      <w:rFonts w:ascii="Arial" w:hAnsi="Arial" w:cs="Arial"/>
                      <w:sz w:val="12"/>
                      <w:szCs w:val="18"/>
                      <w:lang w:val="en-US"/>
                    </w:rPr>
                  </w:pPr>
                  <w:r w:rsidRPr="005C30CF">
                    <w:rPr>
                      <w:rFonts w:ascii="Arial" w:hAnsi="Arial" w:cs="Arial"/>
                      <w:sz w:val="12"/>
                      <w:szCs w:val="18"/>
                      <w:lang w:val="en-US"/>
                    </w:rPr>
                    <w:t xml:space="preserve"> 2000</w:t>
                  </w:r>
                </w:p>
              </w:tc>
              <w:tc>
                <w:tcPr>
                  <w:tcW w:w="2059" w:type="pct"/>
                </w:tcPr>
                <w:p w14:paraId="3A70DDFF" w14:textId="77777777" w:rsidR="00975FC9" w:rsidRPr="005C30CF" w:rsidRDefault="00975FC9" w:rsidP="00975FC9">
                  <w:pPr>
                    <w:spacing w:after="0"/>
                    <w:jc w:val="right"/>
                    <w:rPr>
                      <w:rFonts w:ascii="Arial" w:hAnsi="Arial" w:cs="Arial"/>
                      <w:sz w:val="12"/>
                      <w:szCs w:val="18"/>
                      <w:lang w:val="en-US"/>
                    </w:rPr>
                  </w:pPr>
                </w:p>
              </w:tc>
            </w:tr>
            <w:tr w:rsidR="00975FC9" w:rsidRPr="005C30CF" w14:paraId="77047F01" w14:textId="77777777" w:rsidTr="00A82FBF">
              <w:trPr>
                <w:trHeight w:val="14"/>
                <w:jc w:val="center"/>
              </w:trPr>
              <w:tc>
                <w:tcPr>
                  <w:tcW w:w="1031" w:type="pct"/>
                  <w:vMerge/>
                  <w:vAlign w:val="center"/>
                  <w:hideMark/>
                </w:tcPr>
                <w:p w14:paraId="270C6EF0" w14:textId="77777777" w:rsidR="00975FC9" w:rsidRPr="005C30CF" w:rsidRDefault="00975FC9" w:rsidP="00975FC9">
                  <w:pPr>
                    <w:spacing w:after="0"/>
                    <w:rPr>
                      <w:rFonts w:ascii="Arial" w:hAnsi="Arial" w:cs="Arial"/>
                      <w:sz w:val="12"/>
                      <w:szCs w:val="18"/>
                      <w:lang w:val="en-US"/>
                    </w:rPr>
                  </w:pPr>
                </w:p>
              </w:tc>
              <w:tc>
                <w:tcPr>
                  <w:tcW w:w="641" w:type="pct"/>
                  <w:shd w:val="clear" w:color="auto" w:fill="auto"/>
                  <w:vAlign w:val="center"/>
                  <w:hideMark/>
                </w:tcPr>
                <w:p w14:paraId="2308B4AC" w14:textId="77777777" w:rsidR="00975FC9" w:rsidRPr="005C30CF" w:rsidRDefault="00975FC9" w:rsidP="00975FC9">
                  <w:pPr>
                    <w:spacing w:after="0"/>
                    <w:jc w:val="right"/>
                    <w:rPr>
                      <w:rFonts w:ascii="Arial" w:hAnsi="Arial" w:cs="Arial"/>
                      <w:sz w:val="12"/>
                      <w:szCs w:val="18"/>
                      <w:lang w:val="en-US"/>
                    </w:rPr>
                  </w:pPr>
                  <w:r w:rsidRPr="005C30CF">
                    <w:rPr>
                      <w:rFonts w:ascii="Arial" w:hAnsi="Arial" w:cs="Arial"/>
                      <w:sz w:val="12"/>
                      <w:szCs w:val="18"/>
                      <w:lang w:val="en-US"/>
                    </w:rPr>
                    <w:t>3</w:t>
                  </w:r>
                </w:p>
              </w:tc>
              <w:tc>
                <w:tcPr>
                  <w:tcW w:w="609" w:type="pct"/>
                  <w:shd w:val="clear" w:color="auto" w:fill="auto"/>
                  <w:vAlign w:val="center"/>
                  <w:hideMark/>
                </w:tcPr>
                <w:p w14:paraId="2007E8E7" w14:textId="77777777" w:rsidR="00975FC9" w:rsidRPr="005C30CF" w:rsidRDefault="00975FC9" w:rsidP="00975FC9">
                  <w:pPr>
                    <w:spacing w:after="0"/>
                    <w:jc w:val="right"/>
                    <w:rPr>
                      <w:rFonts w:ascii="Arial" w:hAnsi="Arial" w:cs="Arial"/>
                      <w:sz w:val="12"/>
                      <w:szCs w:val="18"/>
                      <w:lang w:val="en-US"/>
                    </w:rPr>
                  </w:pPr>
                  <w:r w:rsidRPr="005C30CF">
                    <w:rPr>
                      <w:rFonts w:ascii="Arial" w:hAnsi="Arial" w:cs="Arial"/>
                      <w:sz w:val="12"/>
                      <w:szCs w:val="18"/>
                      <w:lang w:val="en-US"/>
                    </w:rPr>
                    <w:t>600</w:t>
                  </w:r>
                </w:p>
              </w:tc>
              <w:tc>
                <w:tcPr>
                  <w:tcW w:w="661" w:type="pct"/>
                </w:tcPr>
                <w:p w14:paraId="6A7EA528" w14:textId="77777777" w:rsidR="00975FC9" w:rsidRPr="005C30CF" w:rsidRDefault="00975FC9" w:rsidP="00975FC9">
                  <w:pPr>
                    <w:spacing w:after="0"/>
                    <w:jc w:val="right"/>
                    <w:rPr>
                      <w:rFonts w:ascii="Arial" w:hAnsi="Arial" w:cs="Arial"/>
                      <w:sz w:val="12"/>
                      <w:szCs w:val="18"/>
                      <w:lang w:val="en-US"/>
                    </w:rPr>
                  </w:pPr>
                  <w:r w:rsidRPr="005C30CF">
                    <w:rPr>
                      <w:rFonts w:ascii="Arial" w:hAnsi="Arial" w:cs="Arial"/>
                      <w:sz w:val="12"/>
                      <w:szCs w:val="18"/>
                      <w:lang w:val="en-US"/>
                    </w:rPr>
                    <w:t xml:space="preserve"> 2000</w:t>
                  </w:r>
                </w:p>
              </w:tc>
              <w:tc>
                <w:tcPr>
                  <w:tcW w:w="2059" w:type="pct"/>
                </w:tcPr>
                <w:p w14:paraId="1792D510" w14:textId="77777777" w:rsidR="00975FC9" w:rsidRPr="005C30CF" w:rsidRDefault="00975FC9" w:rsidP="00975FC9">
                  <w:pPr>
                    <w:spacing w:after="0"/>
                    <w:jc w:val="right"/>
                    <w:rPr>
                      <w:rFonts w:ascii="Arial" w:hAnsi="Arial" w:cs="Arial"/>
                      <w:sz w:val="12"/>
                      <w:szCs w:val="18"/>
                      <w:lang w:val="en-US"/>
                    </w:rPr>
                  </w:pPr>
                </w:p>
              </w:tc>
            </w:tr>
            <w:tr w:rsidR="00975FC9" w:rsidRPr="005C30CF" w14:paraId="7E3E3701" w14:textId="77777777" w:rsidTr="00A82FBF">
              <w:trPr>
                <w:trHeight w:val="14"/>
                <w:jc w:val="center"/>
              </w:trPr>
              <w:tc>
                <w:tcPr>
                  <w:tcW w:w="1031" w:type="pct"/>
                  <w:vMerge/>
                  <w:vAlign w:val="center"/>
                  <w:hideMark/>
                </w:tcPr>
                <w:p w14:paraId="02895269" w14:textId="77777777" w:rsidR="00975FC9" w:rsidRPr="005C30CF" w:rsidRDefault="00975FC9" w:rsidP="00975FC9">
                  <w:pPr>
                    <w:spacing w:after="0"/>
                    <w:rPr>
                      <w:rFonts w:ascii="Arial" w:hAnsi="Arial" w:cs="Arial"/>
                      <w:sz w:val="12"/>
                      <w:szCs w:val="18"/>
                      <w:lang w:val="en-US"/>
                    </w:rPr>
                  </w:pPr>
                </w:p>
              </w:tc>
              <w:tc>
                <w:tcPr>
                  <w:tcW w:w="641" w:type="pct"/>
                  <w:shd w:val="clear" w:color="auto" w:fill="auto"/>
                  <w:vAlign w:val="center"/>
                  <w:hideMark/>
                </w:tcPr>
                <w:p w14:paraId="692B4229" w14:textId="77777777" w:rsidR="00975FC9" w:rsidRPr="005C30CF" w:rsidRDefault="00975FC9" w:rsidP="00975FC9">
                  <w:pPr>
                    <w:spacing w:after="0"/>
                    <w:jc w:val="right"/>
                    <w:rPr>
                      <w:rFonts w:ascii="Arial" w:hAnsi="Arial" w:cs="Arial"/>
                      <w:sz w:val="12"/>
                      <w:szCs w:val="18"/>
                      <w:lang w:val="en-US"/>
                    </w:rPr>
                  </w:pPr>
                  <w:r w:rsidRPr="005C30CF">
                    <w:rPr>
                      <w:rFonts w:ascii="Arial" w:hAnsi="Arial" w:cs="Arial"/>
                      <w:sz w:val="12"/>
                      <w:szCs w:val="18"/>
                      <w:lang w:val="en-US"/>
                    </w:rPr>
                    <w:t>4</w:t>
                  </w:r>
                </w:p>
              </w:tc>
              <w:tc>
                <w:tcPr>
                  <w:tcW w:w="609" w:type="pct"/>
                  <w:shd w:val="clear" w:color="auto" w:fill="auto"/>
                  <w:vAlign w:val="center"/>
                  <w:hideMark/>
                </w:tcPr>
                <w:p w14:paraId="3B960BB1" w14:textId="77777777" w:rsidR="00975FC9" w:rsidRPr="005C30CF" w:rsidRDefault="00975FC9" w:rsidP="00975FC9">
                  <w:pPr>
                    <w:spacing w:after="0"/>
                    <w:jc w:val="right"/>
                    <w:rPr>
                      <w:rFonts w:ascii="Arial" w:hAnsi="Arial" w:cs="Arial"/>
                      <w:sz w:val="12"/>
                      <w:szCs w:val="18"/>
                      <w:lang w:val="en-US"/>
                    </w:rPr>
                  </w:pPr>
                  <w:r w:rsidRPr="005C30CF">
                    <w:rPr>
                      <w:rFonts w:ascii="Arial" w:hAnsi="Arial" w:cs="Arial"/>
                      <w:sz w:val="12"/>
                      <w:szCs w:val="18"/>
                      <w:lang w:val="en-US"/>
                    </w:rPr>
                    <w:t>400</w:t>
                  </w:r>
                </w:p>
              </w:tc>
              <w:tc>
                <w:tcPr>
                  <w:tcW w:w="661" w:type="pct"/>
                </w:tcPr>
                <w:p w14:paraId="064B6C42" w14:textId="77777777" w:rsidR="00975FC9" w:rsidRPr="005C30CF" w:rsidRDefault="00975FC9" w:rsidP="00975FC9">
                  <w:pPr>
                    <w:spacing w:after="0"/>
                    <w:jc w:val="right"/>
                    <w:rPr>
                      <w:rFonts w:ascii="Arial" w:hAnsi="Arial" w:cs="Arial"/>
                      <w:sz w:val="12"/>
                      <w:szCs w:val="18"/>
                      <w:lang w:val="en-US"/>
                    </w:rPr>
                  </w:pPr>
                  <w:r w:rsidRPr="005C30CF">
                    <w:rPr>
                      <w:rFonts w:ascii="Arial" w:hAnsi="Arial" w:cs="Arial"/>
                      <w:sz w:val="12"/>
                      <w:szCs w:val="18"/>
                      <w:lang w:val="en-US"/>
                    </w:rPr>
                    <w:t>950</w:t>
                  </w:r>
                </w:p>
              </w:tc>
              <w:tc>
                <w:tcPr>
                  <w:tcW w:w="2059" w:type="pct"/>
                </w:tcPr>
                <w:p w14:paraId="1684C31F" w14:textId="77777777" w:rsidR="00975FC9" w:rsidRPr="005C30CF" w:rsidRDefault="00975FC9" w:rsidP="00975FC9">
                  <w:pPr>
                    <w:spacing w:after="0"/>
                    <w:jc w:val="right"/>
                    <w:rPr>
                      <w:rFonts w:ascii="Arial" w:hAnsi="Arial" w:cs="Arial"/>
                      <w:sz w:val="12"/>
                      <w:szCs w:val="18"/>
                      <w:lang w:val="en-US"/>
                    </w:rPr>
                  </w:pPr>
                  <w:r w:rsidRPr="005C30CF">
                    <w:rPr>
                      <w:rFonts w:ascii="Arial" w:hAnsi="Arial" w:cs="Arial"/>
                      <w:sz w:val="12"/>
                      <w:szCs w:val="18"/>
                      <w:lang w:val="en-US"/>
                    </w:rPr>
                    <w:t>No delay required from the RF perspective</w:t>
                  </w:r>
                </w:p>
              </w:tc>
            </w:tr>
          </w:tbl>
          <w:p w14:paraId="33D10ACA" w14:textId="77777777" w:rsidR="00975FC9" w:rsidRPr="00DF47E3" w:rsidRDefault="00975FC9" w:rsidP="00975FC9">
            <w:pPr>
              <w:pStyle w:val="Header"/>
              <w:rPr>
                <w:rFonts w:eastAsia="Calibri" w:cs="Arial"/>
                <w:sz w:val="12"/>
                <w:szCs w:val="22"/>
              </w:rPr>
            </w:pPr>
          </w:p>
          <w:p w14:paraId="7597B0BC" w14:textId="77777777" w:rsidR="00975FC9" w:rsidRPr="00DF47E3" w:rsidRDefault="00975FC9" w:rsidP="00975FC9">
            <w:pPr>
              <w:pStyle w:val="Header"/>
              <w:rPr>
                <w:rFonts w:eastAsia="Calibri" w:cs="Arial"/>
                <w:sz w:val="12"/>
                <w:szCs w:val="22"/>
              </w:rPr>
            </w:pPr>
            <w:r w:rsidRPr="00DF47E3">
              <w:rPr>
                <w:rFonts w:eastAsia="Calibri" w:cs="Arial"/>
                <w:sz w:val="12"/>
                <w:szCs w:val="22"/>
              </w:rPr>
              <w:t>Note: the numbers in the table are calculated from the end of the last symbol including the DCI indicating the BWP switch and until BB processing delay and RF transition time has been completed.</w:t>
            </w:r>
          </w:p>
          <w:p w14:paraId="6E5D8A28" w14:textId="6CD52612" w:rsidR="00975FC9" w:rsidRPr="00975FC9" w:rsidRDefault="00975FC9" w:rsidP="00975FC9">
            <w:pPr>
              <w:pStyle w:val="Header"/>
              <w:rPr>
                <w:rFonts w:eastAsia="Calibri" w:cs="Arial"/>
                <w:sz w:val="12"/>
                <w:szCs w:val="22"/>
              </w:rPr>
            </w:pPr>
          </w:p>
        </w:tc>
      </w:tr>
    </w:tbl>
    <w:p w14:paraId="62A17148" w14:textId="77777777" w:rsidR="00EC4B01" w:rsidRDefault="00EC4B01" w:rsidP="00EC4B01">
      <w:pPr>
        <w:rPr>
          <w:rFonts w:ascii="Times-Roman" w:hAnsi="Times-Roman" w:hint="eastAsia"/>
          <w:lang w:val="en-US"/>
        </w:rPr>
      </w:pPr>
    </w:p>
    <w:p w14:paraId="5C0D5641" w14:textId="3C4BCACB" w:rsidR="00CC4D30" w:rsidRPr="00B912A4" w:rsidRDefault="00EC4B01" w:rsidP="00905604">
      <w:pPr>
        <w:rPr>
          <w:rFonts w:ascii="Times-Roman" w:hAnsi="Times-Roman" w:hint="eastAsia"/>
          <w:lang w:val="en-US"/>
        </w:rPr>
      </w:pPr>
      <w:r>
        <w:rPr>
          <w:rFonts w:ascii="Times-Roman" w:hAnsi="Times-Roman"/>
          <w:lang w:val="en-US"/>
        </w:rPr>
        <w:t xml:space="preserve">As we can see there is no difference in BWP switching delay between FR1 and FR2, so we </w:t>
      </w:r>
      <w:r w:rsidR="00B912A4">
        <w:rPr>
          <w:rFonts w:ascii="Times-Roman" w:hAnsi="Times-Roman"/>
          <w:lang w:val="en-US"/>
        </w:rPr>
        <w:t xml:space="preserve">neither </w:t>
      </w:r>
      <w:r>
        <w:rPr>
          <w:rFonts w:ascii="Times-Roman" w:hAnsi="Times-Roman"/>
          <w:lang w:val="en-US"/>
        </w:rPr>
        <w:t xml:space="preserve">expect different </w:t>
      </w:r>
      <w:r w:rsidR="00B912A4">
        <w:rPr>
          <w:rFonts w:ascii="Times-Roman" w:hAnsi="Times-Roman"/>
          <w:lang w:val="en-US"/>
        </w:rPr>
        <w:t>values for FR2-1 and FR2-2, u</w:t>
      </w:r>
      <w:r>
        <w:rPr>
          <w:rFonts w:ascii="Times-Roman" w:hAnsi="Times-Roman"/>
          <w:lang w:val="en-US"/>
        </w:rPr>
        <w:t xml:space="preserve">nless RF session </w:t>
      </w:r>
      <w:r w:rsidR="00B912A4">
        <w:rPr>
          <w:rFonts w:ascii="Times-Roman" w:hAnsi="Times-Roman"/>
          <w:lang w:val="en-US"/>
        </w:rPr>
        <w:t>will agree otherwise.</w:t>
      </w:r>
      <w:r>
        <w:rPr>
          <w:rFonts w:ascii="Times-Roman" w:hAnsi="Times-Roman"/>
          <w:lang w:val="en-US"/>
        </w:rPr>
        <w:t xml:space="preserve"> </w:t>
      </w:r>
    </w:p>
    <w:p w14:paraId="39058FFC" w14:textId="3CE9451E" w:rsidR="00313845" w:rsidRPr="00CC4D30" w:rsidRDefault="00A70703" w:rsidP="00905604">
      <w:r w:rsidRPr="00CC4D30">
        <w:rPr>
          <w:rFonts w:ascii="Times-Roman" w:hAnsi="Times-Roman"/>
          <w:lang w:val="en-US"/>
        </w:rPr>
        <w:t>In addition to that the following was agreed during R</w:t>
      </w:r>
      <w:r w:rsidR="00313845" w:rsidRPr="00CC4D30">
        <w:t>AN4 #88</w:t>
      </w:r>
      <w:r w:rsidRPr="00CC4D30">
        <w:t>:</w:t>
      </w:r>
    </w:p>
    <w:p w14:paraId="099F1BA4" w14:textId="77777777" w:rsidR="00CC4D30" w:rsidRDefault="00A70703" w:rsidP="00912AD8">
      <w:pPr>
        <w:pStyle w:val="ListParagraph"/>
        <w:numPr>
          <w:ilvl w:val="0"/>
          <w:numId w:val="10"/>
        </w:numPr>
        <w:overflowPunct/>
        <w:autoSpaceDE/>
        <w:autoSpaceDN/>
        <w:adjustRightInd/>
        <w:spacing w:after="0"/>
        <w:textAlignment w:val="auto"/>
      </w:pPr>
      <w:r w:rsidRPr="002E2C6B">
        <w:t>OFDM symbols carrying DCI is added to BWP switching delay</w:t>
      </w:r>
    </w:p>
    <w:p w14:paraId="57EED39C" w14:textId="5B9F4ECE" w:rsidR="00CC4D30" w:rsidRDefault="00CC4D30" w:rsidP="00912AD8">
      <w:pPr>
        <w:pStyle w:val="ListParagraph"/>
        <w:numPr>
          <w:ilvl w:val="0"/>
          <w:numId w:val="10"/>
        </w:numPr>
        <w:overflowPunct/>
        <w:autoSpaceDE/>
        <w:autoSpaceDN/>
        <w:adjustRightInd/>
        <w:spacing w:after="0"/>
        <w:textAlignment w:val="auto"/>
      </w:pPr>
      <w:r w:rsidRPr="002E2C6B">
        <w:t>Delay for BWP switching of scenario 4 and others shall follow the delay of scenario 1/2/3.</w:t>
      </w:r>
    </w:p>
    <w:p w14:paraId="583F3605" w14:textId="532CEA72" w:rsidR="00CC4D30" w:rsidRPr="00EC4B01" w:rsidRDefault="00CC4D30" w:rsidP="00905604">
      <w:pPr>
        <w:rPr>
          <w:rFonts w:ascii="Times-Roman" w:hAnsi="Times-Roman" w:hint="eastAsia"/>
          <w:b/>
          <w:bCs/>
          <w:lang w:val="en-US"/>
        </w:rPr>
      </w:pPr>
      <w:r w:rsidRPr="00EC4B01">
        <w:rPr>
          <w:rFonts w:ascii="Times-Roman" w:hAnsi="Times-Roman"/>
          <w:b/>
          <w:bCs/>
          <w:lang w:val="en-US"/>
        </w:rPr>
        <w:t xml:space="preserve">Proposal 1: </w:t>
      </w:r>
      <w:r w:rsidR="00EC4B01" w:rsidRPr="00EC4B01">
        <w:rPr>
          <w:rFonts w:ascii="Times-Roman" w:hAnsi="Times-Roman"/>
          <w:b/>
          <w:bCs/>
          <w:lang w:val="en-US"/>
        </w:rPr>
        <w:t xml:space="preserve">RAN4 to use the same assumptions for </w:t>
      </w:r>
      <w:r w:rsidR="00EC4B01">
        <w:rPr>
          <w:rFonts w:ascii="Times-Roman" w:hAnsi="Times-Roman"/>
          <w:b/>
          <w:bCs/>
          <w:lang w:val="en-US"/>
        </w:rPr>
        <w:t xml:space="preserve">FR2-2 </w:t>
      </w:r>
      <w:r w:rsidR="00EC4B01" w:rsidRPr="00EC4B01">
        <w:rPr>
          <w:rFonts w:ascii="Times-Roman" w:hAnsi="Times-Roman"/>
          <w:b/>
          <w:bCs/>
          <w:lang w:val="en-US"/>
        </w:rPr>
        <w:t xml:space="preserve">BWP switching delay definition as in Rel-15, </w:t>
      </w:r>
      <w:proofErr w:type="gramStart"/>
      <w:r w:rsidR="00EC4B01" w:rsidRPr="00EC4B01">
        <w:rPr>
          <w:rFonts w:ascii="Times-Roman" w:hAnsi="Times-Roman"/>
          <w:b/>
          <w:bCs/>
          <w:lang w:val="en-US"/>
        </w:rPr>
        <w:t>i.e.</w:t>
      </w:r>
      <w:proofErr w:type="gramEnd"/>
      <w:r w:rsidR="00EC4B01" w:rsidRPr="00EC4B01">
        <w:rPr>
          <w:rFonts w:ascii="Times-Roman" w:hAnsi="Times-Roman"/>
          <w:b/>
          <w:bCs/>
          <w:lang w:val="en-US"/>
        </w:rPr>
        <w:t xml:space="preserve"> 600us and 2000us switching delay for Type 1 and Type 2 respectively plus 3 OFDM symbols carrying DCI. </w:t>
      </w:r>
    </w:p>
    <w:p w14:paraId="3D2828CA" w14:textId="617CC061" w:rsidR="00CC4D30" w:rsidRPr="00115F4E" w:rsidRDefault="00CC4D30" w:rsidP="00905604">
      <w:pPr>
        <w:rPr>
          <w:rFonts w:ascii="Times-Roman" w:hAnsi="Times-Roman" w:hint="eastAsia"/>
          <w:lang w:val="en-US"/>
        </w:rPr>
      </w:pPr>
      <w:r w:rsidRPr="00CC4D30">
        <w:rPr>
          <w:rFonts w:ascii="Times-Roman" w:hAnsi="Times-Roman"/>
          <w:lang w:val="en-US"/>
        </w:rPr>
        <w:t xml:space="preserve">Following </w:t>
      </w:r>
      <w:r w:rsidR="00EC4B01">
        <w:rPr>
          <w:rFonts w:ascii="Times-Roman" w:hAnsi="Times-Roman"/>
          <w:lang w:val="en-US"/>
        </w:rPr>
        <w:t xml:space="preserve">Proposal 1, </w:t>
      </w:r>
      <w:r w:rsidR="00B912A4">
        <w:rPr>
          <w:rFonts w:ascii="Times-Roman" w:hAnsi="Times-Roman"/>
          <w:lang w:val="en-US"/>
        </w:rPr>
        <w:t xml:space="preserve">to define requirements for new </w:t>
      </w:r>
      <w:r w:rsidR="00B912A4">
        <w:t xml:space="preserve">numerologies defined for </w:t>
      </w:r>
      <w:r w:rsidR="00B912A4" w:rsidRPr="00627A3B">
        <w:t>NR 52.6 – 71 GHz</w:t>
      </w:r>
      <w:r w:rsidR="00B912A4">
        <w:t xml:space="preserve"> operation</w:t>
      </w:r>
      <w:r w:rsidR="00B912A4">
        <w:rPr>
          <w:rFonts w:ascii="Times-Roman" w:hAnsi="Times-Roman"/>
          <w:lang w:val="en-US"/>
        </w:rPr>
        <w:t xml:space="preserve"> </w:t>
      </w:r>
      <w:r w:rsidR="00EC4B01">
        <w:rPr>
          <w:rFonts w:ascii="Times-Roman" w:hAnsi="Times-Roman"/>
          <w:lang w:val="en-US"/>
        </w:rPr>
        <w:t xml:space="preserve">Table </w:t>
      </w:r>
      <w:r w:rsidR="00B912A4">
        <w:rPr>
          <w:rFonts w:ascii="Times-Roman" w:hAnsi="Times-Roman"/>
          <w:lang w:val="en-US"/>
        </w:rPr>
        <w:t xml:space="preserve">8.6.2-1 in TS38.133 can be changed as follows: </w:t>
      </w:r>
      <w:r w:rsidR="00EC4B01">
        <w:rPr>
          <w:rFonts w:ascii="Times-Roman" w:hAnsi="Times-Roman"/>
          <w:lang w:val="en-US"/>
        </w:rPr>
        <w:t xml:space="preserve">  </w:t>
      </w:r>
      <w:r w:rsidRPr="00CC4D30">
        <w:rPr>
          <w:rFonts w:ascii="Times-Roman" w:hAnsi="Times-Roman"/>
          <w:lang w:val="en-US"/>
        </w:rPr>
        <w:t xml:space="preserve"> </w:t>
      </w:r>
    </w:p>
    <w:p w14:paraId="5F4F034A" w14:textId="4367D85F" w:rsidR="00975FC9" w:rsidRPr="009C5807" w:rsidRDefault="00975FC9" w:rsidP="00975FC9">
      <w:pPr>
        <w:pStyle w:val="TH"/>
      </w:pPr>
      <w:bookmarkStart w:id="3" w:name="_Hlk78931548"/>
      <w:r w:rsidRPr="009C5807">
        <w:t xml:space="preserve">Table </w:t>
      </w:r>
      <w:bookmarkEnd w:id="3"/>
      <w:r w:rsidR="00EC4B01">
        <w:t>1</w:t>
      </w:r>
      <w:r w:rsidRPr="009C5807">
        <w:t>: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975FC9" w:rsidRPr="009C5807" w14:paraId="244B5184" w14:textId="77777777" w:rsidTr="00A82FBF">
        <w:trPr>
          <w:trHeight w:val="305"/>
          <w:jc w:val="center"/>
        </w:trPr>
        <w:tc>
          <w:tcPr>
            <w:tcW w:w="649" w:type="dxa"/>
            <w:tcBorders>
              <w:bottom w:val="nil"/>
            </w:tcBorders>
            <w:shd w:val="clear" w:color="auto" w:fill="auto"/>
            <w:vAlign w:val="center"/>
          </w:tcPr>
          <w:p w14:paraId="753E1C2D" w14:textId="77777777" w:rsidR="00975FC9" w:rsidRPr="009C5807" w:rsidRDefault="00975FC9" w:rsidP="00A82FBF">
            <w:pPr>
              <w:pStyle w:val="TAH"/>
            </w:pPr>
            <w:r w:rsidRPr="009C5807">
              <w:rPr>
                <w:noProof/>
                <w:lang w:val="en-US" w:eastAsia="zh-CN"/>
              </w:rPr>
              <w:drawing>
                <wp:inline distT="0" distB="0" distL="0" distR="0" wp14:anchorId="0680241E" wp14:editId="7CF63F41">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6ACBD292" w14:textId="77777777" w:rsidR="00975FC9" w:rsidRPr="009C5807" w:rsidRDefault="00975FC9" w:rsidP="00A82FBF">
            <w:pPr>
              <w:pStyle w:val="TAH"/>
            </w:pPr>
            <w:r w:rsidRPr="009C5807">
              <w:t xml:space="preserve">NR Slot length </w:t>
            </w:r>
          </w:p>
        </w:tc>
        <w:tc>
          <w:tcPr>
            <w:tcW w:w="3938" w:type="dxa"/>
            <w:gridSpan w:val="2"/>
          </w:tcPr>
          <w:p w14:paraId="285A1E5B" w14:textId="77777777" w:rsidR="00975FC9" w:rsidRPr="009C5807" w:rsidRDefault="00975FC9" w:rsidP="00A82FBF">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975FC9" w:rsidRPr="009C5807" w14:paraId="43B53388" w14:textId="77777777" w:rsidTr="00A82FBF">
        <w:trPr>
          <w:trHeight w:val="306"/>
          <w:jc w:val="center"/>
        </w:trPr>
        <w:tc>
          <w:tcPr>
            <w:tcW w:w="649" w:type="dxa"/>
            <w:tcBorders>
              <w:top w:val="nil"/>
            </w:tcBorders>
            <w:shd w:val="clear" w:color="auto" w:fill="auto"/>
            <w:vAlign w:val="center"/>
          </w:tcPr>
          <w:p w14:paraId="7883013A" w14:textId="77777777" w:rsidR="00975FC9" w:rsidRPr="009C5807" w:rsidRDefault="00975FC9" w:rsidP="00A82FBF">
            <w:pPr>
              <w:pStyle w:val="TAH"/>
            </w:pPr>
          </w:p>
        </w:tc>
        <w:tc>
          <w:tcPr>
            <w:tcW w:w="992" w:type="dxa"/>
            <w:tcBorders>
              <w:top w:val="nil"/>
            </w:tcBorders>
          </w:tcPr>
          <w:p w14:paraId="54D30AD3" w14:textId="77777777" w:rsidR="00975FC9" w:rsidRPr="009C5807" w:rsidRDefault="00975FC9" w:rsidP="00A82FBF">
            <w:pPr>
              <w:pStyle w:val="TAH"/>
            </w:pPr>
            <w:r w:rsidRPr="009C5807">
              <w:t>(ms)</w:t>
            </w:r>
          </w:p>
        </w:tc>
        <w:tc>
          <w:tcPr>
            <w:tcW w:w="1969" w:type="dxa"/>
          </w:tcPr>
          <w:p w14:paraId="3F532B20" w14:textId="77777777" w:rsidR="00975FC9" w:rsidRPr="009C5807" w:rsidRDefault="00975FC9" w:rsidP="00A82FBF">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74AA48BB" w14:textId="77777777" w:rsidR="00975FC9" w:rsidRPr="009C5807" w:rsidRDefault="00975FC9" w:rsidP="00A82FBF">
            <w:pPr>
              <w:pStyle w:val="TAH"/>
              <w:rPr>
                <w:vertAlign w:val="superscript"/>
                <w:lang w:eastAsia="zh-CN"/>
              </w:rPr>
            </w:pPr>
            <w:r w:rsidRPr="009C5807">
              <w:rPr>
                <w:lang w:eastAsia="zh-CN"/>
              </w:rPr>
              <w:t>Type 2</w:t>
            </w:r>
            <w:r w:rsidRPr="009C5807">
              <w:rPr>
                <w:vertAlign w:val="superscript"/>
                <w:lang w:eastAsia="zh-CN"/>
              </w:rPr>
              <w:t>Note 1</w:t>
            </w:r>
          </w:p>
        </w:tc>
      </w:tr>
      <w:tr w:rsidR="00975FC9" w:rsidRPr="009C5807" w:rsidDel="00FC0501" w14:paraId="3C27080A" w14:textId="77777777" w:rsidTr="00A82FBF">
        <w:trPr>
          <w:jc w:val="center"/>
        </w:trPr>
        <w:tc>
          <w:tcPr>
            <w:tcW w:w="649" w:type="dxa"/>
            <w:shd w:val="clear" w:color="auto" w:fill="auto"/>
          </w:tcPr>
          <w:p w14:paraId="1986BD27" w14:textId="77777777" w:rsidR="00975FC9" w:rsidRPr="009C5807" w:rsidRDefault="00975FC9" w:rsidP="00A82FBF">
            <w:pPr>
              <w:pStyle w:val="TAC"/>
            </w:pPr>
            <w:r w:rsidRPr="009C5807">
              <w:t>0</w:t>
            </w:r>
          </w:p>
        </w:tc>
        <w:tc>
          <w:tcPr>
            <w:tcW w:w="992" w:type="dxa"/>
          </w:tcPr>
          <w:p w14:paraId="6113455A" w14:textId="77777777" w:rsidR="00975FC9" w:rsidRPr="009C5807" w:rsidRDefault="00975FC9" w:rsidP="00A82FBF">
            <w:pPr>
              <w:pStyle w:val="TAC"/>
            </w:pPr>
            <w:r w:rsidRPr="009C5807">
              <w:t>1</w:t>
            </w:r>
          </w:p>
        </w:tc>
        <w:tc>
          <w:tcPr>
            <w:tcW w:w="1969" w:type="dxa"/>
            <w:shd w:val="clear" w:color="auto" w:fill="auto"/>
          </w:tcPr>
          <w:p w14:paraId="3B5872C6" w14:textId="77777777" w:rsidR="00975FC9" w:rsidRPr="009C5807" w:rsidRDefault="00975FC9" w:rsidP="00A82FBF">
            <w:pPr>
              <w:pStyle w:val="TAC"/>
            </w:pPr>
            <w:r w:rsidRPr="009C5807">
              <w:t>1</w:t>
            </w:r>
          </w:p>
        </w:tc>
        <w:tc>
          <w:tcPr>
            <w:tcW w:w="1969" w:type="dxa"/>
          </w:tcPr>
          <w:p w14:paraId="4B37F10B" w14:textId="77777777" w:rsidR="00975FC9" w:rsidRPr="009C5807" w:rsidRDefault="00975FC9" w:rsidP="00A82FBF">
            <w:pPr>
              <w:pStyle w:val="TAC"/>
            </w:pPr>
            <w:r w:rsidRPr="009C5807">
              <w:t>3</w:t>
            </w:r>
          </w:p>
        </w:tc>
      </w:tr>
      <w:tr w:rsidR="00975FC9" w:rsidRPr="009C5807" w:rsidDel="00FC0501" w14:paraId="30D3451C" w14:textId="77777777" w:rsidTr="00A82FBF">
        <w:trPr>
          <w:jc w:val="center"/>
        </w:trPr>
        <w:tc>
          <w:tcPr>
            <w:tcW w:w="649" w:type="dxa"/>
            <w:shd w:val="clear" w:color="auto" w:fill="auto"/>
          </w:tcPr>
          <w:p w14:paraId="406C47B1" w14:textId="77777777" w:rsidR="00975FC9" w:rsidRPr="009C5807" w:rsidRDefault="00975FC9" w:rsidP="00A82FBF">
            <w:pPr>
              <w:pStyle w:val="TAC"/>
            </w:pPr>
            <w:r w:rsidRPr="009C5807">
              <w:t>1</w:t>
            </w:r>
          </w:p>
        </w:tc>
        <w:tc>
          <w:tcPr>
            <w:tcW w:w="992" w:type="dxa"/>
          </w:tcPr>
          <w:p w14:paraId="150725E6" w14:textId="77777777" w:rsidR="00975FC9" w:rsidRPr="009C5807" w:rsidRDefault="00975FC9" w:rsidP="00A82FBF">
            <w:pPr>
              <w:pStyle w:val="TAC"/>
            </w:pPr>
            <w:r w:rsidRPr="009C5807">
              <w:t>0.5</w:t>
            </w:r>
          </w:p>
        </w:tc>
        <w:tc>
          <w:tcPr>
            <w:tcW w:w="1969" w:type="dxa"/>
            <w:shd w:val="clear" w:color="auto" w:fill="auto"/>
          </w:tcPr>
          <w:p w14:paraId="4E459ECD" w14:textId="77777777" w:rsidR="00975FC9" w:rsidRPr="009C5807" w:rsidRDefault="00975FC9" w:rsidP="00A82FBF">
            <w:pPr>
              <w:pStyle w:val="TAC"/>
            </w:pPr>
            <w:r w:rsidRPr="009C5807">
              <w:t>2</w:t>
            </w:r>
          </w:p>
        </w:tc>
        <w:tc>
          <w:tcPr>
            <w:tcW w:w="1969" w:type="dxa"/>
          </w:tcPr>
          <w:p w14:paraId="5FEA0BCB" w14:textId="77777777" w:rsidR="00975FC9" w:rsidRPr="009C5807" w:rsidRDefault="00975FC9" w:rsidP="00A82FBF">
            <w:pPr>
              <w:pStyle w:val="TAC"/>
            </w:pPr>
            <w:r w:rsidRPr="009C5807">
              <w:t>5</w:t>
            </w:r>
          </w:p>
        </w:tc>
      </w:tr>
      <w:tr w:rsidR="00975FC9" w:rsidRPr="009C5807" w:rsidDel="00FC0501" w14:paraId="6610705D" w14:textId="77777777" w:rsidTr="00A82FBF">
        <w:trPr>
          <w:jc w:val="center"/>
        </w:trPr>
        <w:tc>
          <w:tcPr>
            <w:tcW w:w="649" w:type="dxa"/>
            <w:shd w:val="clear" w:color="auto" w:fill="auto"/>
          </w:tcPr>
          <w:p w14:paraId="340F1F43" w14:textId="77777777" w:rsidR="00975FC9" w:rsidRPr="009C5807" w:rsidRDefault="00975FC9" w:rsidP="00A82FBF">
            <w:pPr>
              <w:pStyle w:val="TAC"/>
            </w:pPr>
            <w:r w:rsidRPr="009C5807">
              <w:t>2</w:t>
            </w:r>
          </w:p>
        </w:tc>
        <w:tc>
          <w:tcPr>
            <w:tcW w:w="992" w:type="dxa"/>
          </w:tcPr>
          <w:p w14:paraId="432F09E2" w14:textId="77777777" w:rsidR="00975FC9" w:rsidRPr="009C5807" w:rsidRDefault="00975FC9" w:rsidP="00A82FBF">
            <w:pPr>
              <w:pStyle w:val="TAC"/>
            </w:pPr>
            <w:r w:rsidRPr="009C5807">
              <w:t>0.25</w:t>
            </w:r>
          </w:p>
        </w:tc>
        <w:tc>
          <w:tcPr>
            <w:tcW w:w="1969" w:type="dxa"/>
            <w:shd w:val="clear" w:color="auto" w:fill="auto"/>
          </w:tcPr>
          <w:p w14:paraId="7E9AF3F2" w14:textId="77777777" w:rsidR="00975FC9" w:rsidRPr="009C5807" w:rsidRDefault="00975FC9" w:rsidP="00A82FBF">
            <w:pPr>
              <w:pStyle w:val="TAC"/>
            </w:pPr>
            <w:r w:rsidRPr="009C5807">
              <w:t>3</w:t>
            </w:r>
          </w:p>
        </w:tc>
        <w:tc>
          <w:tcPr>
            <w:tcW w:w="1969" w:type="dxa"/>
          </w:tcPr>
          <w:p w14:paraId="198D8ABF" w14:textId="77777777" w:rsidR="00975FC9" w:rsidRPr="009C5807" w:rsidRDefault="00975FC9" w:rsidP="00A82FBF">
            <w:pPr>
              <w:pStyle w:val="TAC"/>
            </w:pPr>
            <w:r w:rsidRPr="009C5807">
              <w:t>9</w:t>
            </w:r>
          </w:p>
        </w:tc>
      </w:tr>
      <w:tr w:rsidR="00975FC9" w:rsidRPr="009C5807" w:rsidDel="00FC0501" w14:paraId="03A8C338" w14:textId="77777777" w:rsidTr="00A82FBF">
        <w:trPr>
          <w:jc w:val="center"/>
        </w:trPr>
        <w:tc>
          <w:tcPr>
            <w:tcW w:w="649" w:type="dxa"/>
            <w:shd w:val="clear" w:color="auto" w:fill="auto"/>
          </w:tcPr>
          <w:p w14:paraId="1FB39BB8" w14:textId="77777777" w:rsidR="00975FC9" w:rsidRPr="009C5807" w:rsidRDefault="00975FC9" w:rsidP="00A82FBF">
            <w:pPr>
              <w:pStyle w:val="TAC"/>
            </w:pPr>
            <w:r w:rsidRPr="009C5807">
              <w:t>3</w:t>
            </w:r>
          </w:p>
        </w:tc>
        <w:tc>
          <w:tcPr>
            <w:tcW w:w="992" w:type="dxa"/>
          </w:tcPr>
          <w:p w14:paraId="4869A5F4" w14:textId="77777777" w:rsidR="00975FC9" w:rsidRPr="009C5807" w:rsidRDefault="00975FC9" w:rsidP="00A82FBF">
            <w:pPr>
              <w:pStyle w:val="TAC"/>
            </w:pPr>
            <w:r w:rsidRPr="009C5807">
              <w:t>0.125</w:t>
            </w:r>
          </w:p>
        </w:tc>
        <w:tc>
          <w:tcPr>
            <w:tcW w:w="1969" w:type="dxa"/>
            <w:shd w:val="clear" w:color="auto" w:fill="auto"/>
          </w:tcPr>
          <w:p w14:paraId="18105FC1" w14:textId="77777777" w:rsidR="00975FC9" w:rsidRPr="009C5807" w:rsidRDefault="00975FC9" w:rsidP="00A82FBF">
            <w:pPr>
              <w:pStyle w:val="TAC"/>
            </w:pPr>
            <w:r w:rsidRPr="009C5807">
              <w:t>6</w:t>
            </w:r>
          </w:p>
        </w:tc>
        <w:tc>
          <w:tcPr>
            <w:tcW w:w="1969" w:type="dxa"/>
          </w:tcPr>
          <w:p w14:paraId="473627FC" w14:textId="4CCA0D7D" w:rsidR="00975FC9" w:rsidRPr="009C5807" w:rsidRDefault="00975FC9" w:rsidP="00A82FBF">
            <w:pPr>
              <w:pStyle w:val="TAC"/>
            </w:pPr>
            <w:r w:rsidRPr="009C5807">
              <w:t>18</w:t>
            </w:r>
          </w:p>
        </w:tc>
      </w:tr>
      <w:tr w:rsidR="00975FC9" w:rsidRPr="009C5807" w:rsidDel="00FC0501" w14:paraId="421B612E" w14:textId="77777777" w:rsidTr="00A82FBF">
        <w:trPr>
          <w:jc w:val="center"/>
        </w:trPr>
        <w:tc>
          <w:tcPr>
            <w:tcW w:w="649" w:type="dxa"/>
            <w:shd w:val="clear" w:color="auto" w:fill="auto"/>
          </w:tcPr>
          <w:p w14:paraId="5C23E77C" w14:textId="647CF4AA" w:rsidR="00975FC9" w:rsidRPr="009C5807" w:rsidRDefault="00975FC9" w:rsidP="00975FC9">
            <w:pPr>
              <w:pStyle w:val="TAC"/>
            </w:pPr>
            <w:r w:rsidRPr="00DD1FD4">
              <w:rPr>
                <w:color w:val="00B050"/>
              </w:rPr>
              <w:t>5</w:t>
            </w:r>
          </w:p>
        </w:tc>
        <w:tc>
          <w:tcPr>
            <w:tcW w:w="992" w:type="dxa"/>
          </w:tcPr>
          <w:p w14:paraId="68745876" w14:textId="28C3096E" w:rsidR="00975FC9" w:rsidRPr="009C5807" w:rsidRDefault="00975FC9" w:rsidP="00975FC9">
            <w:pPr>
              <w:pStyle w:val="TAC"/>
            </w:pPr>
            <w:r w:rsidRPr="00DD1FD4">
              <w:rPr>
                <w:color w:val="00B050"/>
              </w:rPr>
              <w:t>0.03125</w:t>
            </w:r>
          </w:p>
        </w:tc>
        <w:tc>
          <w:tcPr>
            <w:tcW w:w="1969" w:type="dxa"/>
            <w:shd w:val="clear" w:color="auto" w:fill="auto"/>
          </w:tcPr>
          <w:p w14:paraId="52728D98" w14:textId="1D6670FA" w:rsidR="00975FC9" w:rsidRPr="0035405F" w:rsidRDefault="0035405F" w:rsidP="00975FC9">
            <w:pPr>
              <w:pStyle w:val="TAC"/>
              <w:rPr>
                <w:color w:val="00B050"/>
              </w:rPr>
            </w:pPr>
            <w:r w:rsidRPr="0035405F">
              <w:rPr>
                <w:color w:val="00B050"/>
              </w:rPr>
              <w:t>20</w:t>
            </w:r>
          </w:p>
        </w:tc>
        <w:tc>
          <w:tcPr>
            <w:tcW w:w="1969" w:type="dxa"/>
          </w:tcPr>
          <w:p w14:paraId="0FAEDB2F" w14:textId="3E009B27" w:rsidR="00975FC9" w:rsidRPr="0035405F" w:rsidRDefault="0035405F" w:rsidP="00975FC9">
            <w:pPr>
              <w:pStyle w:val="TAC"/>
              <w:rPr>
                <w:color w:val="00B050"/>
              </w:rPr>
            </w:pPr>
            <w:r w:rsidRPr="0035405F">
              <w:rPr>
                <w:color w:val="00B050"/>
              </w:rPr>
              <w:t>65</w:t>
            </w:r>
          </w:p>
        </w:tc>
      </w:tr>
      <w:tr w:rsidR="00975FC9" w:rsidRPr="009C5807" w:rsidDel="00FC0501" w14:paraId="7728A6EE" w14:textId="77777777" w:rsidTr="00A82FBF">
        <w:trPr>
          <w:jc w:val="center"/>
        </w:trPr>
        <w:tc>
          <w:tcPr>
            <w:tcW w:w="649" w:type="dxa"/>
            <w:shd w:val="clear" w:color="auto" w:fill="auto"/>
          </w:tcPr>
          <w:p w14:paraId="4429ACDC" w14:textId="5D4D9B79" w:rsidR="00975FC9" w:rsidRPr="009C5807" w:rsidRDefault="00975FC9" w:rsidP="00975FC9">
            <w:pPr>
              <w:pStyle w:val="TAC"/>
            </w:pPr>
            <w:r w:rsidRPr="00DD1FD4">
              <w:rPr>
                <w:color w:val="00B050"/>
              </w:rPr>
              <w:t>6</w:t>
            </w:r>
          </w:p>
        </w:tc>
        <w:tc>
          <w:tcPr>
            <w:tcW w:w="992" w:type="dxa"/>
          </w:tcPr>
          <w:p w14:paraId="0DD93B7B" w14:textId="05525AFC" w:rsidR="00975FC9" w:rsidRPr="009C5807" w:rsidRDefault="00975FC9" w:rsidP="00975FC9">
            <w:pPr>
              <w:pStyle w:val="TAC"/>
            </w:pPr>
            <w:r w:rsidRPr="00DD1FD4">
              <w:rPr>
                <w:color w:val="00B050"/>
              </w:rPr>
              <w:t>0.015625</w:t>
            </w:r>
          </w:p>
        </w:tc>
        <w:tc>
          <w:tcPr>
            <w:tcW w:w="1969" w:type="dxa"/>
            <w:shd w:val="clear" w:color="auto" w:fill="auto"/>
          </w:tcPr>
          <w:p w14:paraId="61CBA311" w14:textId="72419531" w:rsidR="00975FC9" w:rsidRPr="0035405F" w:rsidRDefault="0035405F" w:rsidP="00975FC9">
            <w:pPr>
              <w:pStyle w:val="TAC"/>
              <w:rPr>
                <w:color w:val="00B050"/>
              </w:rPr>
            </w:pPr>
            <w:r w:rsidRPr="0035405F">
              <w:rPr>
                <w:color w:val="00B050"/>
              </w:rPr>
              <w:t>39</w:t>
            </w:r>
          </w:p>
        </w:tc>
        <w:tc>
          <w:tcPr>
            <w:tcW w:w="1969" w:type="dxa"/>
          </w:tcPr>
          <w:p w14:paraId="5C3BA4A8" w14:textId="05BC505C" w:rsidR="00975FC9" w:rsidRPr="0035405F" w:rsidRDefault="0035405F" w:rsidP="00975FC9">
            <w:pPr>
              <w:pStyle w:val="TAC"/>
              <w:rPr>
                <w:color w:val="00B050"/>
              </w:rPr>
            </w:pPr>
            <w:r w:rsidRPr="0035405F">
              <w:rPr>
                <w:color w:val="00B050"/>
              </w:rPr>
              <w:t>129</w:t>
            </w:r>
          </w:p>
        </w:tc>
      </w:tr>
      <w:tr w:rsidR="00975FC9" w:rsidRPr="009C5807" w:rsidDel="00FC0501" w14:paraId="2F0DDF8B" w14:textId="77777777" w:rsidTr="00A82FBF">
        <w:trPr>
          <w:jc w:val="center"/>
        </w:trPr>
        <w:tc>
          <w:tcPr>
            <w:tcW w:w="5579" w:type="dxa"/>
            <w:gridSpan w:val="4"/>
            <w:shd w:val="clear" w:color="auto" w:fill="auto"/>
          </w:tcPr>
          <w:p w14:paraId="7C55F88F" w14:textId="77777777" w:rsidR="00975FC9" w:rsidRPr="009C5807" w:rsidRDefault="00975FC9" w:rsidP="00975FC9">
            <w:pPr>
              <w:pStyle w:val="TAN"/>
            </w:pPr>
            <w:r w:rsidRPr="009C5807">
              <w:t>Note 1:</w:t>
            </w:r>
            <w:r w:rsidRPr="009C5807">
              <w:tab/>
              <w:t>Depends on UE capability.</w:t>
            </w:r>
          </w:p>
          <w:p w14:paraId="092D6F27" w14:textId="77777777" w:rsidR="00975FC9" w:rsidRPr="009C5807" w:rsidRDefault="00975FC9" w:rsidP="00975FC9">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4245B010" w14:textId="77777777" w:rsidR="00975FC9" w:rsidRPr="009C5807" w:rsidRDefault="00975FC9" w:rsidP="00975FC9"/>
    <w:p w14:paraId="31543983" w14:textId="1A1617B8" w:rsidR="00FA39B1" w:rsidRDefault="00B27CFE" w:rsidP="00905604">
      <w:pPr>
        <w:rPr>
          <w:rFonts w:ascii="Times-Roman" w:hAnsi="Times-Roman" w:hint="eastAsia"/>
          <w:b/>
          <w:bCs/>
          <w:lang w:val="en-US"/>
        </w:rPr>
      </w:pPr>
      <w:r w:rsidRPr="009B6F6B">
        <w:rPr>
          <w:b/>
          <w:bCs/>
          <w:lang w:val="en-US" w:eastAsia="ja-JP" w:bidi="hi-IN"/>
        </w:rPr>
        <w:t xml:space="preserve">Proposal </w:t>
      </w:r>
      <w:r w:rsidR="00B912A4">
        <w:rPr>
          <w:b/>
          <w:bCs/>
          <w:lang w:val="en-US" w:eastAsia="ja-JP" w:bidi="hi-IN"/>
        </w:rPr>
        <w:t>2</w:t>
      </w:r>
      <w:r w:rsidRPr="009B6F6B">
        <w:rPr>
          <w:b/>
          <w:bCs/>
          <w:lang w:val="en-US" w:eastAsia="ja-JP" w:bidi="hi-IN"/>
        </w:rPr>
        <w:t xml:space="preserve">: </w:t>
      </w:r>
      <w:r w:rsidR="00A70703" w:rsidRPr="00A27D21">
        <w:rPr>
          <w:rFonts w:ascii="Times-Roman" w:hAnsi="Times-Roman"/>
          <w:b/>
          <w:bCs/>
          <w:lang w:val="en-US"/>
        </w:rPr>
        <w:t>For new SCSs RAN4</w:t>
      </w:r>
      <w:r w:rsidR="00A70703">
        <w:rPr>
          <w:rFonts w:ascii="Times-Roman" w:hAnsi="Times-Roman"/>
          <w:b/>
          <w:bCs/>
          <w:lang w:val="en-US"/>
        </w:rPr>
        <w:t xml:space="preserve"> to define BWP switching delay</w:t>
      </w:r>
      <w:r w:rsidR="00EC4B01">
        <w:rPr>
          <w:rFonts w:ascii="Times-Roman" w:hAnsi="Times-Roman"/>
          <w:b/>
          <w:bCs/>
          <w:lang w:val="en-US"/>
        </w:rPr>
        <w:t xml:space="preserve"> (</w:t>
      </w:r>
      <w:r w:rsidR="00EC4B01" w:rsidRPr="00EC4B01">
        <w:rPr>
          <w:rFonts w:ascii="Times-Roman" w:hAnsi="Times-Roman"/>
          <w:b/>
          <w:bCs/>
          <w:lang w:val="en-US"/>
        </w:rPr>
        <w:t>Table 8.6.2-1</w:t>
      </w:r>
      <w:r w:rsidR="00EC4B01">
        <w:rPr>
          <w:rFonts w:ascii="Times-Roman" w:hAnsi="Times-Roman"/>
          <w:b/>
          <w:bCs/>
          <w:lang w:val="en-US"/>
        </w:rPr>
        <w:t>)</w:t>
      </w:r>
      <w:r w:rsidR="00A70703">
        <w:rPr>
          <w:rFonts w:ascii="Times-Roman" w:hAnsi="Times-Roman"/>
          <w:b/>
          <w:bCs/>
          <w:lang w:val="en-US"/>
        </w:rPr>
        <w:t xml:space="preserve"> as shown in Table 1.</w:t>
      </w:r>
    </w:p>
    <w:p w14:paraId="4E7E9ACB" w14:textId="77777777" w:rsidR="00115F4E" w:rsidRPr="00A70703" w:rsidRDefault="00115F4E" w:rsidP="00115F4E">
      <w:pPr>
        <w:rPr>
          <w:rFonts w:ascii="Times-Roman" w:hAnsi="Times-Roman" w:hint="eastAsia"/>
          <w:lang w:val="en-US"/>
        </w:rPr>
      </w:pPr>
      <w:r w:rsidRPr="00A70703">
        <w:rPr>
          <w:rFonts w:ascii="Times-Roman" w:hAnsi="Times-Roman"/>
          <w:lang w:val="en-US"/>
        </w:rPr>
        <w:t xml:space="preserve">Regarding </w:t>
      </w:r>
      <w:r w:rsidRPr="00A70703">
        <w:rPr>
          <w:rFonts w:ascii="Times-Roman" w:hAnsi="Times-Roman"/>
        </w:rPr>
        <w:t>BWP Switching on Multiple CCs</w:t>
      </w:r>
      <w:r>
        <w:rPr>
          <w:rFonts w:ascii="Times-Roman" w:hAnsi="Times-Roman"/>
        </w:rPr>
        <w:t xml:space="preserve"> there is no SCS dependency in the corresponding requirements. The existing requirements can be applied for new SCSs</w:t>
      </w:r>
    </w:p>
    <w:p w14:paraId="44198FAF" w14:textId="0144665D" w:rsidR="00A70703" w:rsidRDefault="00A70703" w:rsidP="00905604">
      <w:pPr>
        <w:rPr>
          <w:b/>
          <w:bCs/>
          <w:lang w:val="en-US" w:eastAsia="ja-JP" w:bidi="hi-IN"/>
        </w:rPr>
      </w:pPr>
      <w:r>
        <w:rPr>
          <w:rFonts w:ascii="Times-Roman" w:hAnsi="Times-Roman"/>
          <w:b/>
          <w:bCs/>
          <w:lang w:val="en-US"/>
        </w:rPr>
        <w:t xml:space="preserve">Proposal </w:t>
      </w:r>
      <w:r w:rsidR="00B912A4">
        <w:rPr>
          <w:rFonts w:ascii="Times-Roman" w:hAnsi="Times-Roman"/>
          <w:b/>
          <w:bCs/>
          <w:lang w:val="en-US"/>
        </w:rPr>
        <w:t>3</w:t>
      </w:r>
      <w:r>
        <w:rPr>
          <w:rFonts w:ascii="Times-Roman" w:hAnsi="Times-Roman"/>
          <w:b/>
          <w:bCs/>
          <w:lang w:val="en-US"/>
        </w:rPr>
        <w:t xml:space="preserve">: The existing requirements for </w:t>
      </w:r>
      <w:r w:rsidRPr="00A70703">
        <w:rPr>
          <w:rFonts w:ascii="Times-Roman" w:hAnsi="Times-Roman"/>
          <w:b/>
          <w:bCs/>
        </w:rPr>
        <w:t>BWP Switching on Multiple CCs</w:t>
      </w:r>
      <w:r>
        <w:rPr>
          <w:rFonts w:ascii="Times-Roman" w:hAnsi="Times-Roman"/>
          <w:b/>
          <w:bCs/>
        </w:rPr>
        <w:t xml:space="preserve"> can be applied for new SCSs</w:t>
      </w:r>
    </w:p>
    <w:p w14:paraId="06B0650C" w14:textId="77777777" w:rsidR="00F01182" w:rsidRPr="00146B4F" w:rsidRDefault="00F01182" w:rsidP="00F01182">
      <w:pPr>
        <w:pStyle w:val="Heading1"/>
      </w:pPr>
      <w:r w:rsidRPr="00146B4F">
        <w:t>Conclusion</w:t>
      </w:r>
    </w:p>
    <w:p w14:paraId="38213628" w14:textId="2BE0F838" w:rsidR="00F01182" w:rsidRDefault="00A47C50" w:rsidP="00F01182">
      <w:pPr>
        <w:tabs>
          <w:tab w:val="left" w:pos="709"/>
        </w:tabs>
        <w:spacing w:before="60" w:after="60"/>
        <w:jc w:val="both"/>
      </w:pPr>
      <w:r w:rsidRPr="00431B06">
        <w:t>In this paper we provide</w:t>
      </w:r>
      <w:r w:rsidR="00115F4E">
        <w:t>d</w:t>
      </w:r>
      <w:r w:rsidRPr="00431B06">
        <w:t xml:space="preserve"> our views </w:t>
      </w:r>
      <w:r w:rsidR="00115F4E" w:rsidRPr="00431B06">
        <w:t>on</w:t>
      </w:r>
      <w:r w:rsidR="00115F4E">
        <w:t xml:space="preserve"> active BWP switching delay requirements for new numerologies defined for </w:t>
      </w:r>
      <w:r w:rsidR="00115F4E" w:rsidRPr="00627A3B">
        <w:t>NR 52.6 – 71 GHz</w:t>
      </w:r>
      <w:r w:rsidR="00115F4E">
        <w:t xml:space="preserve"> operation.</w:t>
      </w:r>
      <w:r w:rsidR="00115F4E" w:rsidRPr="00431B06">
        <w:t xml:space="preserve"> </w:t>
      </w:r>
      <w:r>
        <w:t xml:space="preserve">The following proposals were </w:t>
      </w:r>
      <w:r w:rsidR="00F01182">
        <w:t>made:</w:t>
      </w:r>
    </w:p>
    <w:p w14:paraId="48609B0E" w14:textId="7470E025" w:rsidR="00115F4E" w:rsidRDefault="00115F4E" w:rsidP="00115F4E">
      <w:pPr>
        <w:rPr>
          <w:rFonts w:ascii="Times-Roman" w:hAnsi="Times-Roman" w:hint="eastAsia"/>
          <w:b/>
          <w:bCs/>
          <w:lang w:val="en-US"/>
        </w:rPr>
      </w:pPr>
      <w:r w:rsidRPr="00EC4B01">
        <w:rPr>
          <w:rFonts w:ascii="Times-Roman" w:hAnsi="Times-Roman"/>
          <w:b/>
          <w:bCs/>
          <w:lang w:val="en-US"/>
        </w:rPr>
        <w:t xml:space="preserve">Proposal 1: RAN4 to use the same assumptions for </w:t>
      </w:r>
      <w:r>
        <w:rPr>
          <w:rFonts w:ascii="Times-Roman" w:hAnsi="Times-Roman"/>
          <w:b/>
          <w:bCs/>
          <w:lang w:val="en-US"/>
        </w:rPr>
        <w:t xml:space="preserve">FR2-2 </w:t>
      </w:r>
      <w:r w:rsidRPr="00EC4B01">
        <w:rPr>
          <w:rFonts w:ascii="Times-Roman" w:hAnsi="Times-Roman"/>
          <w:b/>
          <w:bCs/>
          <w:lang w:val="en-US"/>
        </w:rPr>
        <w:t xml:space="preserve">BWP switching delay definition as in Rel-15, </w:t>
      </w:r>
      <w:proofErr w:type="gramStart"/>
      <w:r w:rsidRPr="00EC4B01">
        <w:rPr>
          <w:rFonts w:ascii="Times-Roman" w:hAnsi="Times-Roman"/>
          <w:b/>
          <w:bCs/>
          <w:lang w:val="en-US"/>
        </w:rPr>
        <w:t>i.e.</w:t>
      </w:r>
      <w:proofErr w:type="gramEnd"/>
      <w:r w:rsidRPr="00EC4B01">
        <w:rPr>
          <w:rFonts w:ascii="Times-Roman" w:hAnsi="Times-Roman"/>
          <w:b/>
          <w:bCs/>
          <w:lang w:val="en-US"/>
        </w:rPr>
        <w:t xml:space="preserve"> 600us and 2000us switching delay for Type 1 and Type 2 respectively plus 3 OFDM symbols carrying DCI. </w:t>
      </w:r>
    </w:p>
    <w:p w14:paraId="10C0CA81" w14:textId="77777777" w:rsidR="00115F4E" w:rsidRDefault="00115F4E" w:rsidP="00115F4E">
      <w:pPr>
        <w:rPr>
          <w:rFonts w:ascii="Times-Roman" w:hAnsi="Times-Roman" w:hint="eastAsia"/>
          <w:b/>
          <w:bCs/>
          <w:lang w:val="en-US"/>
        </w:rPr>
      </w:pPr>
      <w:r w:rsidRPr="009B6F6B">
        <w:rPr>
          <w:b/>
          <w:bCs/>
          <w:lang w:val="en-US" w:eastAsia="ja-JP" w:bidi="hi-IN"/>
        </w:rPr>
        <w:lastRenderedPageBreak/>
        <w:t xml:space="preserve">Proposal </w:t>
      </w:r>
      <w:r>
        <w:rPr>
          <w:b/>
          <w:bCs/>
          <w:lang w:val="en-US" w:eastAsia="ja-JP" w:bidi="hi-IN"/>
        </w:rPr>
        <w:t>2</w:t>
      </w:r>
      <w:r w:rsidRPr="009B6F6B">
        <w:rPr>
          <w:b/>
          <w:bCs/>
          <w:lang w:val="en-US" w:eastAsia="ja-JP" w:bidi="hi-IN"/>
        </w:rPr>
        <w:t xml:space="preserve">: </w:t>
      </w:r>
      <w:r w:rsidRPr="00A27D21">
        <w:rPr>
          <w:rFonts w:ascii="Times-Roman" w:hAnsi="Times-Roman"/>
          <w:b/>
          <w:bCs/>
          <w:lang w:val="en-US"/>
        </w:rPr>
        <w:t>For new SCSs RAN4</w:t>
      </w:r>
      <w:r>
        <w:rPr>
          <w:rFonts w:ascii="Times-Roman" w:hAnsi="Times-Roman"/>
          <w:b/>
          <w:bCs/>
          <w:lang w:val="en-US"/>
        </w:rPr>
        <w:t xml:space="preserve"> to define BWP switching delay (</w:t>
      </w:r>
      <w:r w:rsidRPr="00EC4B01">
        <w:rPr>
          <w:rFonts w:ascii="Times-Roman" w:hAnsi="Times-Roman"/>
          <w:b/>
          <w:bCs/>
          <w:lang w:val="en-US"/>
        </w:rPr>
        <w:t>Table 8.6.2-1</w:t>
      </w:r>
      <w:r>
        <w:rPr>
          <w:rFonts w:ascii="Times-Roman" w:hAnsi="Times-Roman"/>
          <w:b/>
          <w:bCs/>
          <w:lang w:val="en-US"/>
        </w:rPr>
        <w:t>) as shown in Table 1.</w:t>
      </w:r>
    </w:p>
    <w:p w14:paraId="6CDA15D5" w14:textId="77777777" w:rsidR="00115F4E" w:rsidRDefault="00115F4E" w:rsidP="00115F4E">
      <w:pPr>
        <w:rPr>
          <w:b/>
          <w:bCs/>
          <w:lang w:val="en-US" w:eastAsia="ja-JP" w:bidi="hi-IN"/>
        </w:rPr>
      </w:pPr>
      <w:r>
        <w:rPr>
          <w:rFonts w:ascii="Times-Roman" w:hAnsi="Times-Roman"/>
          <w:b/>
          <w:bCs/>
          <w:lang w:val="en-US"/>
        </w:rPr>
        <w:t xml:space="preserve">Proposal 3: The existing requirements for </w:t>
      </w:r>
      <w:r w:rsidRPr="00A70703">
        <w:rPr>
          <w:rFonts w:ascii="Times-Roman" w:hAnsi="Times-Roman"/>
          <w:b/>
          <w:bCs/>
        </w:rPr>
        <w:t>BWP Switching on Multiple CCs</w:t>
      </w:r>
      <w:r>
        <w:rPr>
          <w:rFonts w:ascii="Times-Roman" w:hAnsi="Times-Roman"/>
          <w:b/>
          <w:bCs/>
        </w:rPr>
        <w:t xml:space="preserve"> can be applied for new SCSs</w:t>
      </w:r>
    </w:p>
    <w:p w14:paraId="0F869E2E" w14:textId="77777777" w:rsidR="00F01182" w:rsidRPr="00146B4F" w:rsidRDefault="00F01182" w:rsidP="00F01182">
      <w:pPr>
        <w:pStyle w:val="Heading1"/>
      </w:pPr>
      <w:r w:rsidRPr="00146B4F">
        <w:t>References</w:t>
      </w:r>
    </w:p>
    <w:p w14:paraId="5AB02956" w14:textId="77AB7876" w:rsidR="00B912A4" w:rsidRDefault="00B912A4" w:rsidP="00905604">
      <w:pPr>
        <w:widowControl w:val="0"/>
        <w:numPr>
          <w:ilvl w:val="0"/>
          <w:numId w:val="1"/>
        </w:numPr>
        <w:jc w:val="both"/>
      </w:pPr>
      <w:r w:rsidRPr="00B912A4">
        <w:t>R4-2108354</w:t>
      </w:r>
      <w:r>
        <w:t xml:space="preserve"> </w:t>
      </w:r>
      <w:r w:rsidRPr="00B912A4">
        <w:t xml:space="preserve">WF on NR Ext to 71GHz </w:t>
      </w:r>
      <w:r>
        <w:t>–</w:t>
      </w:r>
      <w:r w:rsidRPr="00B912A4">
        <w:t xml:space="preserve"> RRM</w:t>
      </w:r>
      <w:r>
        <w:t xml:space="preserve">, Qualcomm, RAN4 #99, </w:t>
      </w:r>
      <w:r w:rsidRPr="00B912A4">
        <w:t>19</w:t>
      </w:r>
      <w:r w:rsidRPr="00B912A4">
        <w:rPr>
          <w:vertAlign w:val="superscript"/>
        </w:rPr>
        <w:t>th</w:t>
      </w:r>
      <w:r w:rsidRPr="00B912A4">
        <w:t xml:space="preserve"> – 27</w:t>
      </w:r>
      <w:r w:rsidRPr="00B912A4">
        <w:rPr>
          <w:vertAlign w:val="superscript"/>
        </w:rPr>
        <w:t>th</w:t>
      </w:r>
      <w:r>
        <w:t xml:space="preserve"> </w:t>
      </w:r>
      <w:r w:rsidRPr="00B912A4">
        <w:t>May 2021</w:t>
      </w:r>
    </w:p>
    <w:p w14:paraId="6F0AB9C8" w14:textId="56501E88" w:rsidR="00B912A4" w:rsidRDefault="00B912A4" w:rsidP="00905604">
      <w:pPr>
        <w:widowControl w:val="0"/>
        <w:numPr>
          <w:ilvl w:val="0"/>
          <w:numId w:val="1"/>
        </w:numPr>
        <w:jc w:val="both"/>
      </w:pPr>
      <w:r w:rsidRPr="00B912A4">
        <w:t>R4-1803283</w:t>
      </w:r>
      <w:r>
        <w:t xml:space="preserve"> </w:t>
      </w:r>
      <w:r w:rsidRPr="00B912A4">
        <w:t>LS on BWP switching delay</w:t>
      </w:r>
      <w:r>
        <w:t xml:space="preserve">, </w:t>
      </w:r>
      <w:r w:rsidRPr="00B912A4">
        <w:t>3GPP RAN4</w:t>
      </w:r>
      <w:r>
        <w:t xml:space="preserve"> #86 </w:t>
      </w:r>
      <w:r w:rsidRPr="00B912A4">
        <w:t>February 26 – March 2, 2018</w:t>
      </w:r>
    </w:p>
    <w:sectPr w:rsidR="00B912A4" w:rsidSect="00F0118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80516C" w14:textId="77777777" w:rsidR="00250CB6" w:rsidRDefault="00250CB6" w:rsidP="00F01182">
      <w:pPr>
        <w:spacing w:before="0" w:after="0"/>
      </w:pPr>
      <w:r>
        <w:separator/>
      </w:r>
    </w:p>
  </w:endnote>
  <w:endnote w:type="continuationSeparator" w:id="0">
    <w:p w14:paraId="6EF7F12E" w14:textId="77777777" w:rsidR="00250CB6" w:rsidRDefault="00250CB6" w:rsidP="00F011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9F2ED" w14:textId="77777777" w:rsidR="00250CB6" w:rsidRDefault="00250CB6"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250CB6" w:rsidRDefault="00250CB6"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A16B0" w14:textId="77777777" w:rsidR="00250CB6" w:rsidRPr="00DB1239" w:rsidRDefault="00250CB6"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3252D" w14:textId="77777777" w:rsidR="00250CB6" w:rsidRDefault="00250C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EB9D88" w14:textId="77777777" w:rsidR="00250CB6" w:rsidRDefault="00250CB6" w:rsidP="00F01182">
      <w:pPr>
        <w:spacing w:before="0" w:after="0"/>
      </w:pPr>
      <w:r>
        <w:separator/>
      </w:r>
    </w:p>
  </w:footnote>
  <w:footnote w:type="continuationSeparator" w:id="0">
    <w:p w14:paraId="17C419BD" w14:textId="77777777" w:rsidR="00250CB6" w:rsidRDefault="00250CB6" w:rsidP="00F0118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3E17A" w14:textId="77777777" w:rsidR="00250CB6" w:rsidRDefault="00250CB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2E80" w14:textId="77777777" w:rsidR="00250CB6" w:rsidRDefault="00250C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C5FA0" w14:textId="77777777" w:rsidR="00250CB6" w:rsidRDefault="00250C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3"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7"/>
  </w:num>
  <w:num w:numId="4">
    <w:abstractNumId w:val="5"/>
  </w:num>
  <w:num w:numId="5">
    <w:abstractNumId w:val="3"/>
  </w:num>
  <w:num w:numId="6">
    <w:abstractNumId w:val="8"/>
  </w:num>
  <w:num w:numId="7">
    <w:abstractNumId w:val="2"/>
  </w:num>
  <w:num w:numId="8">
    <w:abstractNumId w:val="0"/>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3"/>
  <w:proofState w:grammar="clean"/>
  <w:defaultTabStop w:val="708"/>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25ABE"/>
    <w:rsid w:val="00045451"/>
    <w:rsid w:val="00074DFE"/>
    <w:rsid w:val="00084065"/>
    <w:rsid w:val="000A50D0"/>
    <w:rsid w:val="000A7FA8"/>
    <w:rsid w:val="000B0BF2"/>
    <w:rsid w:val="000C3C28"/>
    <w:rsid w:val="000C591A"/>
    <w:rsid w:val="000E1A0A"/>
    <w:rsid w:val="00115F4E"/>
    <w:rsid w:val="001B79B4"/>
    <w:rsid w:val="001C2D4A"/>
    <w:rsid w:val="001C7338"/>
    <w:rsid w:val="00204C52"/>
    <w:rsid w:val="00213455"/>
    <w:rsid w:val="00217D2C"/>
    <w:rsid w:val="002460DA"/>
    <w:rsid w:val="00250CB6"/>
    <w:rsid w:val="002562C7"/>
    <w:rsid w:val="0026412A"/>
    <w:rsid w:val="00264652"/>
    <w:rsid w:val="002732EB"/>
    <w:rsid w:val="00276AB5"/>
    <w:rsid w:val="00280090"/>
    <w:rsid w:val="002C774D"/>
    <w:rsid w:val="002E1458"/>
    <w:rsid w:val="002E2C6B"/>
    <w:rsid w:val="00304F73"/>
    <w:rsid w:val="00312F3D"/>
    <w:rsid w:val="00313845"/>
    <w:rsid w:val="00330CD2"/>
    <w:rsid w:val="0035405F"/>
    <w:rsid w:val="003618A5"/>
    <w:rsid w:val="00397650"/>
    <w:rsid w:val="003C767B"/>
    <w:rsid w:val="003C781F"/>
    <w:rsid w:val="003D22B2"/>
    <w:rsid w:val="003E3FF2"/>
    <w:rsid w:val="003E598B"/>
    <w:rsid w:val="00425DB6"/>
    <w:rsid w:val="00431B06"/>
    <w:rsid w:val="004563D3"/>
    <w:rsid w:val="00476AF6"/>
    <w:rsid w:val="00490C92"/>
    <w:rsid w:val="004A09B6"/>
    <w:rsid w:val="0050718C"/>
    <w:rsid w:val="00510D0B"/>
    <w:rsid w:val="00523459"/>
    <w:rsid w:val="005468E3"/>
    <w:rsid w:val="00553847"/>
    <w:rsid w:val="00595995"/>
    <w:rsid w:val="005B3C5D"/>
    <w:rsid w:val="005D0CD6"/>
    <w:rsid w:val="005D7F3E"/>
    <w:rsid w:val="006263E0"/>
    <w:rsid w:val="00627A3B"/>
    <w:rsid w:val="006303F7"/>
    <w:rsid w:val="00666C1E"/>
    <w:rsid w:val="006A5F2D"/>
    <w:rsid w:val="006D23BC"/>
    <w:rsid w:val="00701619"/>
    <w:rsid w:val="00721E81"/>
    <w:rsid w:val="00725BA6"/>
    <w:rsid w:val="0073741D"/>
    <w:rsid w:val="00780A46"/>
    <w:rsid w:val="00781FCA"/>
    <w:rsid w:val="007E00C1"/>
    <w:rsid w:val="00804CC8"/>
    <w:rsid w:val="00815F9C"/>
    <w:rsid w:val="00833FDE"/>
    <w:rsid w:val="008579C9"/>
    <w:rsid w:val="00884864"/>
    <w:rsid w:val="0089734D"/>
    <w:rsid w:val="008A7479"/>
    <w:rsid w:val="008B6914"/>
    <w:rsid w:val="008C6931"/>
    <w:rsid w:val="008C737F"/>
    <w:rsid w:val="008E624A"/>
    <w:rsid w:val="008F64EB"/>
    <w:rsid w:val="00905604"/>
    <w:rsid w:val="009436B2"/>
    <w:rsid w:val="009550C0"/>
    <w:rsid w:val="00955AFF"/>
    <w:rsid w:val="00975FC9"/>
    <w:rsid w:val="00982F1A"/>
    <w:rsid w:val="00993E56"/>
    <w:rsid w:val="009B10CD"/>
    <w:rsid w:val="009B6F6B"/>
    <w:rsid w:val="009D6577"/>
    <w:rsid w:val="009F3400"/>
    <w:rsid w:val="00A21195"/>
    <w:rsid w:val="00A47A6A"/>
    <w:rsid w:val="00A47C50"/>
    <w:rsid w:val="00A70703"/>
    <w:rsid w:val="00A70C9E"/>
    <w:rsid w:val="00A800C6"/>
    <w:rsid w:val="00A846A0"/>
    <w:rsid w:val="00A944C4"/>
    <w:rsid w:val="00AB081E"/>
    <w:rsid w:val="00AB2E7B"/>
    <w:rsid w:val="00AE07E7"/>
    <w:rsid w:val="00AF52F7"/>
    <w:rsid w:val="00B05576"/>
    <w:rsid w:val="00B11E4E"/>
    <w:rsid w:val="00B21A14"/>
    <w:rsid w:val="00B25B59"/>
    <w:rsid w:val="00B27CFE"/>
    <w:rsid w:val="00B30E43"/>
    <w:rsid w:val="00B5397D"/>
    <w:rsid w:val="00B76C78"/>
    <w:rsid w:val="00B912A4"/>
    <w:rsid w:val="00B96CE2"/>
    <w:rsid w:val="00BA3E2C"/>
    <w:rsid w:val="00BA5F1E"/>
    <w:rsid w:val="00BB3F09"/>
    <w:rsid w:val="00BC4207"/>
    <w:rsid w:val="00BD1E06"/>
    <w:rsid w:val="00BD6C67"/>
    <w:rsid w:val="00BE4E62"/>
    <w:rsid w:val="00C16332"/>
    <w:rsid w:val="00C418D2"/>
    <w:rsid w:val="00C54BB9"/>
    <w:rsid w:val="00C63A6A"/>
    <w:rsid w:val="00C65EF3"/>
    <w:rsid w:val="00C975E0"/>
    <w:rsid w:val="00CB1708"/>
    <w:rsid w:val="00CB7EB0"/>
    <w:rsid w:val="00CC4D30"/>
    <w:rsid w:val="00CC5C2D"/>
    <w:rsid w:val="00CD6254"/>
    <w:rsid w:val="00D040B2"/>
    <w:rsid w:val="00D0470E"/>
    <w:rsid w:val="00D1461D"/>
    <w:rsid w:val="00D254A8"/>
    <w:rsid w:val="00D62705"/>
    <w:rsid w:val="00D9234B"/>
    <w:rsid w:val="00DA6789"/>
    <w:rsid w:val="00DC3026"/>
    <w:rsid w:val="00DC3348"/>
    <w:rsid w:val="00DD1FD4"/>
    <w:rsid w:val="00DF2C14"/>
    <w:rsid w:val="00E071CC"/>
    <w:rsid w:val="00E31A14"/>
    <w:rsid w:val="00E33408"/>
    <w:rsid w:val="00E33664"/>
    <w:rsid w:val="00E44293"/>
    <w:rsid w:val="00E44F50"/>
    <w:rsid w:val="00E616D4"/>
    <w:rsid w:val="00E773AC"/>
    <w:rsid w:val="00EC4B01"/>
    <w:rsid w:val="00EF22B6"/>
    <w:rsid w:val="00F01182"/>
    <w:rsid w:val="00F32004"/>
    <w:rsid w:val="00F36E15"/>
    <w:rsid w:val="00F52F9F"/>
    <w:rsid w:val="00F711C2"/>
    <w:rsid w:val="00F94E10"/>
    <w:rsid w:val="00FA39B1"/>
    <w:rsid w:val="00FC3B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C9868DE"/>
  <w15:chartTrackingRefBased/>
  <w15:docId w15:val="{BF5E44B4-CDB1-4DEF-96A8-1D6AEDD64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tabs>
        <w:tab w:val="num" w:pos="360"/>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basedOn w:val="Normal"/>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498307507">
          <w:marLeft w:val="360"/>
          <w:marRight w:val="0"/>
          <w:marTop w:val="2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 w:id="182978822">
          <w:marLeft w:val="1080"/>
          <w:marRight w:val="0"/>
          <w:marTop w:val="100"/>
          <w:marBottom w:val="0"/>
          <w:divBdr>
            <w:top w:val="none" w:sz="0" w:space="0" w:color="auto"/>
            <w:left w:val="none" w:sz="0" w:space="0" w:color="auto"/>
            <w:bottom w:val="none" w:sz="0" w:space="0" w:color="auto"/>
            <w:right w:val="none" w:sz="0" w:space="0" w:color="auto"/>
          </w:divBdr>
        </w:div>
      </w:divsChild>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336</TotalTime>
  <Pages>3</Pages>
  <Words>770</Words>
  <Characters>4394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9</cp:revision>
  <dcterms:created xsi:type="dcterms:W3CDTF">2021-08-01T09:47:00Z</dcterms:created>
  <dcterms:modified xsi:type="dcterms:W3CDTF">2021-08-06T20:52:00Z</dcterms:modified>
</cp:coreProperties>
</file>